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B3A5C"/>
          <w:sz w:val="44"/>
          <w:szCs w:val="44"/>
        </w:rPr>
        <w:t xml:space="preserve">Credit Card Fraud Detection</w:t>
      </w:r>
    </w:p>
    <w:p>
      <w:pPr>
        <w:spacing w:after="400"/>
      </w:pPr>
      <w:r>
        <w:rPr>
          <w:color w:val="2E86AB"/>
          <w:sz w:val="26"/>
          <w:szCs w:val="26"/>
        </w:rPr>
        <w:t xml:space="preserve">Model Evaluation &amp; Business Insights Report</w:t>
      </w:r>
    </w:p>
    <w:p>
      <w:pPr>
        <w:pStyle w:val="Heading1"/>
        <w:spacing w:after="150" w:before="300"/>
      </w:pPr>
      <w:r>
        <w:t xml:space="preserve">1. Project Summary</w:t>
      </w:r>
    </w:p>
    <w:p>
      <w:pPr>
        <w:spacing w:after="160"/>
      </w:pPr>
      <w:r>
        <w:rPr>
          <w:sz w:val="22"/>
          <w:szCs w:val="22"/>
        </w:rPr>
        <w:t xml:space="preserve">This report summarizes the development and evaluation of a machine learning system for identifying fraudulent credit card transactions. The working dataset contains 6,090 transactions, of which 90 (1.478%) are confirmed fraud, reflecting the severe class imbalance typical of real-world fraud detection problems.</w:t>
      </w:r>
    </w:p>
    <w:p>
      <w:pPr>
        <w:spacing w:after="160"/>
      </w:pPr>
      <w:r>
        <w:rPr>
          <w:sz w:val="22"/>
          <w:szCs w:val="22"/>
        </w:rPr>
        <w:t xml:space="preserve">The pipeline covers data cleaning and preprocessing, exploratory data analysis, class-imbalance correction via SMOTE, feature engineering, comparison of multiple classification models, and hyperparameter tuning of the best-performing model.</w:t>
      </w:r>
    </w:p>
    <w:p>
      <w:pPr>
        <w:pStyle w:val="Heading1"/>
        <w:spacing w:after="150" w:before="300"/>
      </w:pPr>
      <w:r>
        <w:t xml:space="preserve">2. Exploratory Data Analysis</w:t>
      </w:r>
    </w:p>
    <w:p>
      <w:pPr>
        <w:pStyle w:val="Heading2"/>
        <w:spacing w:after="120" w:before="250"/>
      </w:pPr>
      <w:r>
        <w:t xml:space="preserve">2.1 Class Distribution</w:t>
      </w:r>
    </w:p>
    <w:p>
      <w:pPr>
        <w:spacing w:after="160"/>
      </w:pPr>
      <w:r>
        <w:rPr>
          <w:sz w:val="22"/>
          <w:szCs w:val="22"/>
        </w:rPr>
        <w:t xml:space="preserve">The dataset is heavily imbalanced toward legitimate transactions, which motivates the use of SMOTE oversampling during model training.</w:t>
      </w:r>
    </w:p>
    <w:p>
      <w:pPr>
        <w:spacing w:after="200"/>
        <w:jc w:val="center"/>
      </w:pPr>
      <w:r>
        <w:drawing>
          <wp:inline distT="0" distB="0" distL="0" distR="0">
            <wp:extent cx="5669280" cy="250799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2.2 Transaction Amount Patterns</w:t>
      </w:r>
    </w:p>
    <w:p>
      <w:pPr>
        <w:spacing w:after="160"/>
      </w:pPr>
      <w:r>
        <w:rPr>
          <w:sz w:val="22"/>
          <w:szCs w:val="22"/>
        </w:rPr>
        <w:t xml:space="preserve">Fraudulent transactions have a lower median amount (12.54) than legitimate ones (47.62), consistent with small "card testing" charges used to validate stolen card details before a larger purchase is attempted. Fraud amounts also show a wider spread, driven by occasional large-value fraudulent transactions.</w:t>
      </w:r>
    </w:p>
    <w:p>
      <w:pPr>
        <w:spacing w:after="200"/>
        <w:jc w:val="center"/>
      </w:pPr>
      <w:r>
        <w:drawing>
          <wp:inline distT="0" distB="0" distL="0" distR="0">
            <wp:extent cx="5669280" cy="23142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2.3 Timing Patterns</w:t>
      </w:r>
    </w:p>
    <w:p>
      <w:pPr>
        <w:spacing w:after="160"/>
      </w:pPr>
      <w:r>
        <w:rPr>
          <w:sz w:val="22"/>
          <w:szCs w:val="22"/>
        </w:rPr>
        <w:t xml:space="preserve">Fraudulent activity is not evenly distributed across the day. In this dataset, fraud incidence peaks around hour 18:00, which is a useful signal for time-aware risk scoring.</w:t>
      </w:r>
    </w:p>
    <w:p>
      <w:pPr>
        <w:spacing w:after="200"/>
        <w:jc w:val="center"/>
      </w:pPr>
      <w:r>
        <w:drawing>
          <wp:inline distT="0" distB="0" distL="0" distR="0">
            <wp:extent cx="5669280" cy="25060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2.4 Feature Correlation</w:t>
      </w:r>
    </w:p>
    <w:p>
      <w:pPr>
        <w:spacing w:after="160"/>
      </w:pPr>
      <w:r>
        <w:rPr>
          <w:sz w:val="22"/>
          <w:szCs w:val="22"/>
        </w:rPr>
        <w:t xml:space="preserve">A subset of anonymized features shows meaningfully stronger correlation with the fraud label than others, which later informs feature importance in the trained model.</w:t>
      </w:r>
    </w:p>
    <w:p>
      <w:pPr>
        <w:spacing w:after="200"/>
        <w:jc w:val="center"/>
      </w:pPr>
      <w:r>
        <w:drawing>
          <wp:inline distT="0" distB="0" distL="0" distR="0">
            <wp:extent cx="4937760" cy="555029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5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3. Model Development &amp; Comparison</w:t>
      </w:r>
    </w:p>
    <w:p>
      <w:pPr>
        <w:spacing w:after="160"/>
      </w:pPr>
      <w:r>
        <w:rPr>
          <w:sz w:val="22"/>
          <w:szCs w:val="22"/>
        </w:rPr>
        <w:t xml:space="preserve">Three classification models were trained on a SMOTE-balanced training set and evaluated on a held-out test set that preserves the original class imbalance, to reflect real-world deployment conditions: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B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shd w:fill="1B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800"/>
            <w:shd w:fill="1B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800"/>
            <w:shd w:fill="1B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800"/>
            <w:shd w:fill="1B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0.0686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0.6087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0.1233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0.7944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0.4231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0.4783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0.449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0.9753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0.3125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0.6522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0.4225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0.9688</w:t>
            </w:r>
          </w:p>
        </w:tc>
      </w:tr>
    </w:tbl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5669280" cy="31085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10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3.1 Selected Model</w:t>
      </w:r>
    </w:p>
    <w:p>
      <w:pPr>
        <w:spacing w:after="160"/>
      </w:pPr>
      <w:r>
        <w:rPr>
          <w:sz w:val="22"/>
          <w:szCs w:val="22"/>
        </w:rPr>
        <w:t xml:space="preserve">Random Forest was selected as the best-performing baseline and further tuned with GridSearchCV. The tuned configuration ({"max_depth":12,"n_estimators":100}) achieved the following results on the held-out test set: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B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1B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Precision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0.6667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Recall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0.5217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F1-Score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0.5854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ROC-AUC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0.9846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3.2 Confusion Matrix &amp; ROC Curve</w:t>
      </w:r>
    </w:p>
    <w:p>
      <w:pPr>
        <w:spacing w:after="200"/>
        <w:jc w:val="center"/>
      </w:pPr>
      <w:r>
        <w:drawing>
          <wp:inline distT="0" distB="0" distL="0" distR="0">
            <wp:extent cx="4206240" cy="347518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47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389120" cy="36294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62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4. Fraud Pattern &amp; Feature Importance Analysis</w:t>
      </w:r>
    </w:p>
    <w:p>
      <w:pPr>
        <w:spacing w:after="160"/>
      </w:pPr>
      <w:r>
        <w:rPr>
          <w:sz w:val="22"/>
          <w:szCs w:val="22"/>
        </w:rPr>
        <w:t xml:space="preserve">The chart below ranks features by their contribution to the model's fraud predictions.</w:t>
      </w:r>
    </w:p>
    <w:p>
      <w:pPr>
        <w:spacing w:after="200"/>
        <w:jc w:val="center"/>
      </w:pPr>
      <w:r>
        <w:drawing>
          <wp:inline distT="0" distB="0" distL="0" distR="0">
            <wp:extent cx="5486400" cy="40869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8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Top Contributing Features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B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shd w:fill="1B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Amount_log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0.1613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V22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0.1223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0.1203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V4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0.0915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V14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0.0824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V17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0.0757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V10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0.0512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Day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0.0351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Business Insights &amp; Recommendations</w:t>
      </w:r>
    </w:p>
    <w:p>
      <w:pPr>
        <w:pStyle w:val="Heading2"/>
        <w:spacing w:after="120" w:before="25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Fraudulent transactions skew toward smaller amounts (median 12.54) than legitimate ones (median 47.62), a pattern consistent with card-testing behavior.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Fraud incidence peaks around hour 18:00, suggesting time-of-day is a useful risk factor.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 concentrated set of transaction features carries most of the predictive signal, supporting a lean, fast-scoring model suitable for near real-time screening.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The tuned model reaches a recall of 0.5217 and precision of 0.6667 on the fraud class, catching a majority of fraud cases while keeping the false-positive volume manageable for manual review.</w:t>
      </w:r>
    </w:p>
    <w:p>
      <w:pPr>
        <w:pStyle w:val="Heading2"/>
        <w:spacing w:after="120" w:before="250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Deploy the model as a first-pass screening layer ahead of manual fraud review, rather than a fully automated block/allow decision, given the cost asymmetry between missed fraud and false alarms.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Apply additional scrutiny to low-value transactions occurring during peak fraud hours, since these combine two of the strongest observed risk signals.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Track precision and recall on a rolling basis and retrain periodically on newly confirmed fraud cases, since fraud patterns evolve over time.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Consider a cost-sensitive decision threshold rather than the default 0.5 cutoff, tuned to the organization's relative cost of false positives versus false negatives.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9f9a065121e7b15728d45f140f71e52d3f3cead.png"/><Relationship Id="rId8" Type="http://schemas.openxmlformats.org/officeDocument/2006/relationships/image" Target="media/0e42c326735c9adae86c3c0f3e15c667c7a51ac0.png"/><Relationship Id="rId9" Type="http://schemas.openxmlformats.org/officeDocument/2006/relationships/image" Target="media/24d9c92ac72afcca9ef16e983e94ab8454190580.png"/><Relationship Id="rId10" Type="http://schemas.openxmlformats.org/officeDocument/2006/relationships/image" Target="media/24469381e1b40935b8d348a660013489b39dee28.png"/><Relationship Id="rId11" Type="http://schemas.openxmlformats.org/officeDocument/2006/relationships/image" Target="media/0f1266ec56d5f4623aa2e1b9ec69bae902a32d15.png"/><Relationship Id="rId12" Type="http://schemas.openxmlformats.org/officeDocument/2006/relationships/image" Target="media/7f0f1e2c5ba8315b2a1b3bdc9be45986c271ad8b.png"/><Relationship Id="rId13" Type="http://schemas.openxmlformats.org/officeDocument/2006/relationships/image" Target="media/fc69eb883c74e1aa2adf4330a31fc418d3937282.png"/><Relationship Id="rId14" Type="http://schemas.openxmlformats.org/officeDocument/2006/relationships/image" Target="media/e6898c7119e85f6a60e26b6c4f68e3ac68d4a20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2026-07-18T03:11:56.077Z</dcterms:created>
  <dcterms:modified xsi:type="dcterms:W3CDTF">2026-07-18T03:11:56.077Z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