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34"/>
          <w:szCs w:val="34"/>
        </w:rPr>
        <w:t xml:space="preserve">Customer Segmentation and Business Insights</w:t>
      </w:r>
    </w:p>
    <w:p>
      <w:pPr>
        <w:spacing w:after="30"/>
        <w:jc w:val="center"/>
      </w:pPr>
      <w:r>
        <w:rPr>
          <w:color w:val="666666"/>
          <w:sz w:val="19"/>
          <w:szCs w:val="19"/>
        </w:rPr>
        <w:t xml:space="preserve">Data Science Task #03 — Gexton Education Summer Internship Program</w:t>
      </w:r>
    </w:p>
    <w:p>
      <w:pPr>
        <w:spacing w:after="200"/>
        <w:jc w:val="center"/>
      </w:pPr>
      <w:r>
        <w:rPr>
          <w:i/>
          <w:iCs/>
          <w:color w:val="666666"/>
          <w:sz w:val="19"/>
          <w:szCs w:val="19"/>
        </w:rPr>
        <w:t xml:space="preserve">Prepared for: Sir Muhammad Arham MH</w:t>
      </w:r>
    </w:p>
    <w:p>
      <w:pPr>
        <w:pStyle w:val="Heading1"/>
      </w:pPr>
      <w:r>
        <w:t xml:space="preserve">1. Project Overview</w:t>
      </w:r>
    </w:p>
    <w:p>
      <w:pPr>
        <w:spacing w:after="110"/>
      </w:pPr>
      <w:r>
        <w:t xml:space="preserve">This project analyzes a small customer dataset (19 records: CustomerID, Age, Gender, Annual Income, and Spending Score) to understand customer behavior and segment customers into meaningful groups using K-Means clustering. The dataset extends the same 19 unique customers used in the Task #02 sales analysis, with demographic and behavioral attributes added to support segmentation.</w:t>
      </w:r>
    </w:p>
    <w:p>
      <w:pPr>
        <w:pStyle w:val="Heading1"/>
      </w:pPr>
      <w:r>
        <w:t xml:space="preserve">2. Data Cleaning Process</w:t>
      </w:r>
    </w:p>
    <w:p>
      <w:pPr>
        <w:spacing w:after="110"/>
      </w:pPr>
      <w:r>
        <w:t xml:space="preserve">Initial exploration found one duplicate row (CUST109 appeared twice) and one missing Annual Income value (CUST116). The following cleaning steps were applied: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Removed 1 duplicate row using drop_duplicates(), reducing the dataset from 19 to 18 records.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Imputed the missing Annual Income value using the column median (58k), which is robust to the outlier present in the data.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Checked for outliers using the IQR method on Age and Annual Income. One income outlier was found (CUST118 at 150k, versus an upper bound of ~111.5k) but was kept in the dataset as a genuine high-value customer rather than removed, since it represents a real business segment worth understanding rather than a data 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Verified data consistency: no negative values, all Gender values valid ('Male'/'Female'), all Spending Scores within the expected 1-100 range.</w:t>
      </w:r>
    </w:p>
    <w:p>
      <w:pPr>
        <w:spacing w:after="110"/>
      </w:pPr>
      <w:r>
        <w:t xml:space="preserve">The cleaned dataset (18 records, zero missing values, zero duplicates) was saved as customer_data_cleaned.csv.</w:t>
      </w:r>
    </w:p>
    <w:p>
      <w:pPr>
        <w:pStyle w:val="Heading1"/>
      </w:pPr>
      <w:r>
        <w:t xml:space="preserve">3. Exploratory Data Analysis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Annual Income (k)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Spending Score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57.5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Std. Dev.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00"/>
      </w:pPr>
    </w:p>
    <w:p>
      <w:pPr>
        <w:spacing w:after="110"/>
      </w:pPr>
      <w:r>
        <w:t xml:space="preserve">The customer base is fairly evenly split by gender (10 Male, 9 Female after cleaning). Correlation analysis revealed two notable relationships: Age and Spending Score are strongly negatively correlated (r = -0.95) — younger customers spend more — while Annual Income and Spending Score are moderately negatively correlated (r = -0.48), meaning higher earners in this sample tend to spend less relative to their income.</w:t>
      </w:r>
    </w:p>
    <w:p>
      <w:r>
        <w:br w:type="page"/>
      </w:r>
    </w:p>
    <w:p>
      <w:pPr>
        <w:pStyle w:val="Heading1"/>
      </w:pPr>
      <w:r>
        <w:t xml:space="preserve">4. Data Visualizations</w:t>
      </w:r>
    </w:p>
    <w:p>
      <w:pPr>
        <w:spacing w:after="110"/>
      </w:pPr>
      <w:r>
        <w:t xml:space="preserve">Eight required chart types plus two supporting clustering charts were produced. Selected charts are shown below; all chart files are included as separate PNGs.</w:t>
      </w:r>
    </w:p>
    <w:p>
      <w:pPr>
        <w:pStyle w:val="Heading2"/>
      </w:pPr>
      <w:r>
        <w:t xml:space="preserve">Demographics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Left: Gender is fairly balanced. Right: Most customers are aged 20-45, with a smaller older tail.</w:t>
      </w:r>
    </w:p>
    <w:p>
      <w:pPr>
        <w:pStyle w:val="Heading2"/>
      </w:pPr>
      <w:r>
        <w:t xml:space="preserve">Income &amp; Spending Distribution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Left: Customers split roughly evenly across low/medium/high income brackets. Right: One clear high-income outlier (CUST118, 150k) sits above the upper whisker.</w:t>
      </w:r>
    </w:p>
    <w:p>
      <w:pPr>
        <w:pStyle w:val="Heading2"/>
      </w:pPr>
      <w:r>
        <w:t xml:space="preserve">Spending Score by Gender</w:t>
      </w:r>
    </w:p>
    <w:p>
      <w:pPr>
        <w:spacing w:after="60"/>
        <w:jc w:val="center"/>
      </w:pPr>
      <w:r>
        <w:drawing>
          <wp:inline distT="0" distB="0" distL="0" distR="0">
            <wp:extent cx="3238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Female customers show a slightly higher median spending score with a wider spread than male customers.</w:t>
      </w:r>
    </w:p>
    <w:p>
      <w:r>
        <w:br w:type="page"/>
      </w:r>
    </w:p>
    <w:p>
      <w:pPr>
        <w:pStyle w:val="Heading2"/>
      </w:pPr>
      <w:r>
        <w:t xml:space="preserve">Relationships Between Variables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66700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Left: Higher income generally pairs with lower spending score, except a low-income/high-spend group. Right: Spending score clearly declines with age.</w:t>
      </w:r>
    </w:p>
    <w:p>
      <w:pPr>
        <w:pStyle w:val="Heading2"/>
      </w:pPr>
      <w:r>
        <w:t xml:space="preserve">Correlation Heatmap</w:t>
      </w:r>
    </w:p>
    <w:p>
      <w:pPr>
        <w:spacing w:after="60"/>
        <w:jc w:val="center"/>
      </w:pPr>
      <w:r>
        <w:drawing>
          <wp:inline distT="0" distB="0" distL="0" distR="0">
            <wp:extent cx="3238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Age shows a strong negative correlation with Spending Score (-0.95); Income shows a moderate negative correlation with Spending Score (-0.48).</w:t>
      </w:r>
    </w:p>
    <w:p>
      <w:pPr>
        <w:pStyle w:val="Heading1"/>
      </w:pPr>
      <w:r>
        <w:t xml:space="preserve">5. Customer Segmentation Results</w:t>
      </w:r>
    </w:p>
    <w:p>
      <w:pPr>
        <w:spacing w:after="110"/>
      </w:pPr>
      <w:r>
        <w:t xml:space="preserve">K-Means clustering was applied to Annual Income and Spending Score (standardized using StandardScaler). The Elbow Method was used to identify the optimal number of clusters — inertia decreases sharply up to k=3 and flattens afterward, so k=3 was selected given the small sample size.</w:t>
      </w:r>
    </w:p>
    <w:p>
      <w:pPr>
        <w:spacing w:after="60"/>
        <w:jc w:val="center"/>
      </w:pPr>
      <w:r>
        <w:drawing>
          <wp:inline distT="0" distB="0" distL="0" distR="0">
            <wp:extent cx="3048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10"/>
      </w:pPr>
      <w:r>
        <w:t xml:space="preserve">The resulting three segments and their average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400"/>
        <w:gridCol w:w="1700"/>
        <w:gridCol w:w="1700"/>
        <w:gridCol w:w="2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Income (k)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Avg. Spend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Segment Label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Conservative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High-Spend / Engaged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Income, Low Engagement</w:t>
            </w:r>
          </w:p>
        </w:tc>
      </w:tr>
    </w:tbl>
    <w:p>
      <w:pPr>
        <w:spacing w:after="120"/>
      </w:pPr>
    </w:p>
    <w:p>
      <w:pPr>
        <w:spacing w:after="60"/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Cluster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 0 - Conservative (8 customers, ~44% of base): Moderate-to-high income but low spending score. These are financially capable customers who are under-engaged with the business.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 1 - High-Spend / Engaged Shoppers (9 customers, ~50% of base): Younger customers with moderate income but high spending scores. This is the largest and most actively engaged segment.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Cluster 2 - High Income, Low Engagement (1 customer, CUST118): A clear outlier - the highest income in the dataset (150k) but the lowest spending score (15). Represents a high-potential, currently under-served VIP customer.</w:t>
      </w:r>
    </w:p>
    <w:p>
      <w:pPr>
        <w:pStyle w:val="Heading1"/>
      </w:pPr>
      <w:r>
        <w:t xml:space="preserve">6. Business Insights and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High-Spend/Engaged segment (Cluster 1) is the most valuable for current revenue, despite not having the highest income - engagement matters more than income alone for driving spending in this customer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Conservative segment (Cluster 0) represents a significant untapped opportunity: they have the income to spend more but currently don't. Targeted promotions, loyalty incentives, or personalized offers could shift this group toward higher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CUST118 (Cluster 2) should be treated as a VIP-at-risk: high income but very low spending score suggests dissatisfaction, lack of relevant offerings, or simply being an untapped premium customer. A dedicated relationship-management or premium-product approach is recommended.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Marketing strategy by segment: for Cluster 1, reinforce loyalty with rewards programs to retain already-high engagement; for Cluster 0, use re-engagement campaigns (e.g. limited-time offers, personalized recommendations) to convert income into spending; for Cluster 2, consider a white-glove/VIP outreach approach rather than mass marketing.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strong negative correlation between Age and Spending Score (-0.95) suggests products and marketing should be tailored toward younger demographics to maximize spending, while a separate strategy is needed to re-engage older, higher-income customers.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Because Income and Spending Score are negatively correlated overall, revenue growth should not rely solely on attracting high-income customers - engagement and relevance to the customer's needs appear to matter more than income level.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Given the small sample size (18-19 customers), these segments are illustrative of the workflow rather than statistically robust; collecting more customer records would allow more reliable cluster boundaries and likely reveal additional segments.</w:t>
      </w:r>
    </w:p>
    <w:p>
      <w:pPr>
        <w:pStyle w:val="Heading1"/>
      </w:pPr>
      <w:r>
        <w:t xml:space="preserve">7. Final Conclusion</w:t>
      </w:r>
    </w:p>
    <w:p>
      <w:pPr>
        <w:spacing w:after="110"/>
      </w:pPr>
      <w:r>
        <w:t xml:space="preserve">This analysis demonstrates a complete customer segmentation workflow: cleaning a small but realistically messy dataset, exploring demographic and behavioral patterns, visualizing key relationships, and applying K-Means clustering to identify three distinct customer segments. The clearest actionable finding is that spending engagement, not income, is the primary driver of customer value in this dataset - meaning business strategy should prioritize engagement-building activities over income-based targeting alone. The same workflow and code structure used here would scale directly to a larger customer base for more statistically reliable segmentation.</w:t>
      </w:r>
    </w:p>
    <w:p>
      <w:pPr>
        <w:pStyle w:val="Heading1"/>
      </w:pPr>
      <w:r>
        <w:t xml:space="preserve">8. Tools Used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Python: Pandas and NumPy for data cleaning and analysis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Matplotlib and Seaborn for visualizations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Scikit-learn (KMeans, StandardScaler) for customer segmentation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Deliverables: customer_data_raw.csv, customer_data_cleaned.csv, customer_data_segmented.csv, analysis.py, all chart PNGs, and this report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51c20e2da2ce1379153794ccfb50596f2c81d6.png"/><Relationship Id="rId8" Type="http://schemas.openxmlformats.org/officeDocument/2006/relationships/image" Target="media/87ef089d41fc531dd8664bdb7e2ecb137a13300a.png"/><Relationship Id="rId9" Type="http://schemas.openxmlformats.org/officeDocument/2006/relationships/image" Target="media/6099f3a1d148f836514b4f7833bcf92170349e4a.png"/><Relationship Id="rId10" Type="http://schemas.openxmlformats.org/officeDocument/2006/relationships/image" Target="media/2aeb35af9914934c705c8c494887a4bfa7d237ad.png"/><Relationship Id="rId11" Type="http://schemas.openxmlformats.org/officeDocument/2006/relationships/image" Target="media/5d894a086fda52301e5c5ddaca9b2426d5ca2390.png"/><Relationship Id="rId12" Type="http://schemas.openxmlformats.org/officeDocument/2006/relationships/image" Target="media/2a606c9ca43ff01966e30e3c736645ca38b54c8d.png"/><Relationship Id="rId13" Type="http://schemas.openxmlformats.org/officeDocument/2006/relationships/image" Target="media/84c274faa86e5396a6a207f921b8fb2aef0a23db.png"/><Relationship Id="rId14" Type="http://schemas.openxmlformats.org/officeDocument/2006/relationships/image" Target="media/105834922fbe2878c2086e7412afe4deb2cb90a0.png"/><Relationship Id="rId15" Type="http://schemas.openxmlformats.org/officeDocument/2006/relationships/image" Target="media/cd81c89646fdcad1af7de9a5acbe690b0a9f00db.png"/><Relationship Id="rId16" Type="http://schemas.openxmlformats.org/officeDocument/2006/relationships/image" Target="media/71c60bfb101a4d5c04227f6e152c788812365d6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2026-06-16T19:19:27.138Z</dcterms:created>
  <dcterms:modified xsi:type="dcterms:W3CDTF">2026-06-16T19:19:27.148Z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