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b/>
          <w:bCs/>
          <w:color w:val="2A6F97"/>
          <w:sz w:val="28"/>
          <w:szCs w:val="28"/>
        </w:rPr>
        <w:t xml:space="preserve">Gexton Education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Summer Internship Program</w:t>
      </w:r>
    </w:p>
    <w:p>
      <w:pPr>
        <w:spacing w:after="200" w:before="400"/>
        <w:jc w:val="center"/>
      </w:pPr>
      <w:r>
        <w:rPr>
          <w:b/>
          <w:bCs/>
          <w:color w:val="1D3557"/>
          <w:sz w:val="40"/>
          <w:szCs w:val="40"/>
        </w:rPr>
        <w:t xml:space="preserve">Data Science Task # 09</w:t>
      </w:r>
    </w:p>
    <w:p>
      <w:pPr>
        <w:spacing w:after="600"/>
        <w:jc w:val="center"/>
      </w:pPr>
      <w:r>
        <w:rPr>
          <w:b/>
          <w:bCs/>
          <w:color w:val="2A6F97"/>
          <w:sz w:val="30"/>
          <w:szCs w:val="30"/>
        </w:rPr>
        <w:t xml:space="preserve">Project: E-commerce Sales Analytics Dashboard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for: Sir Muhammad Arham MH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Project Report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July 2026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Dataset Source:</w:t>
      </w:r>
    </w:p>
    <w:p>
      <w:pPr>
        <w:spacing w:after="40"/>
        <w:jc w:val="center"/>
      </w:pPr>
      <w:hyperlink w:history="1" r:id="rIdarzw3abtxx0pd34jdkgiu">
        <w:r>
          <w:rPr>
            <w:rStyle w:val="Hyperlink"/>
            <w:sz w:val="20"/>
            <w:szCs w:val="20"/>
          </w:rPr>
          <w:t xml:space="preserve">Global E-Commerce Sales &amp; Customer Data (Kaggle)</w:t>
        </w:r>
      </w:hyperlink>
    </w:p>
    <w:p>
      <w:r>
        <w:br w:type="page"/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60"/>
      </w:pPr>
      <w:r>
        <w:t xml:space="preserve">This project analyzes an e-commerce sales dataset to uncover business insights, identify sales trends, understand customer purchasing behavior, and build a machine learning model to predict future sales. The findings are presented through an interactive Streamlit dashboard.</w:t>
      </w:r>
    </w:p>
    <w:p>
      <w:pPr>
        <w:spacing w:after="160"/>
      </w:pPr>
      <w:r>
        <w:t xml:space="preserve">The dataset used for this analysis was sourced from Kaggle:</w:t>
      </w:r>
    </w:p>
    <w:p>
      <w:pPr>
        <w:spacing w:after="200"/>
      </w:pPr>
      <w:hyperlink w:history="1" r:id="rIdytf7u9x51nawgf1ezs5tk">
        <w:r>
          <w:rPr>
            <w:rStyle w:val="Hyperlink"/>
            <w:sz w:val="20"/>
            <w:szCs w:val="20"/>
          </w:rPr>
          <w:t xml:space="preserve">https://www.kaggle.com/datasets/muhammadaammartufail/global-e-commerce-sales-and-customer-data</w:t>
        </w:r>
      </w:hyperlink>
    </w:p>
    <w:p>
      <w:pPr>
        <w:pStyle w:val="Heading2"/>
        <w:spacing w:after="120" w:before="240"/>
      </w:pPr>
      <w:r>
        <w:t xml:space="preserve">Dataset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0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2,000 orders</w:t>
            </w:r>
          </w:p>
        </w:tc>
      </w:tr>
      <w:tr>
        <w:tc>
          <w:tcPr>
            <w:tcW w:type="dxa" w:w="3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Period</w:t>
            </w:r>
          </w:p>
        </w:tc>
        <w:tc>
          <w:tcPr>
            <w:tcW w:type="dxa" w:w="6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January 2023 – December 2025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Columns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(Order, Customer, Product, Financial &amp; Payment details)</w:t>
            </w:r>
          </w:p>
        </w:tc>
      </w:tr>
      <w:tr>
        <w:tc>
          <w:tcPr>
            <w:tcW w:type="dxa" w:w="3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Countries Covered</w:t>
            </w:r>
          </w:p>
        </w:tc>
        <w:tc>
          <w:tcPr>
            <w:tcW w:type="dxa" w:w="6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 countries across 5 regions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Technology, Office Supplies, Furniture, Clothing &amp; Accessories</w:t>
            </w:r>
          </w:p>
        </w:tc>
      </w:tr>
      <w:tr>
        <w:tc>
          <w:tcPr>
            <w:tcW w:type="dxa" w:w="3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 Values Found</w:t>
            </w:r>
          </w:p>
        </w:tc>
        <w:tc>
          <w:tcPr>
            <w:tcW w:type="dxa" w:w="6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Rows Found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Data Cleaning &amp; Feature Engineering</w:t>
      </w:r>
    </w:p>
    <w:p>
      <w:pPr>
        <w:spacing w:after="160"/>
      </w:pPr>
      <w:r>
        <w:t xml:space="preserve">The following steps were performed to prepare the dataset for analysis and modeling: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Converted Order_Date to a proper datetime format.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for and removed duplicate records (none found).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for and handled missing values (none found — dataset was already clean).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Extracted date-based features: Year, Month, Quarter, Day of Week, and Month-Year 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Derived Profit Margin (%) per order for profitability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that Total_Sales already reflects quantity, unit price, and discount applied.</w:t>
      </w:r>
    </w:p>
    <w:p>
      <w:pPr>
        <w:spacing w:after="160"/>
      </w:pPr>
      <w:r>
        <w:t xml:space="preserve">The cleaned dataset, including all engineered features, was exported as global_ecommerce_sales_cleaned.csv for use in analysis and modeling.</w:t>
      </w:r>
    </w:p>
    <w:p>
      <w:pPr>
        <w:pStyle w:val="Heading1"/>
        <w:spacing w:after="150" w:before="300"/>
      </w:pPr>
      <w:r>
        <w:t xml:space="preserve">3. Revenue &amp; Profit Overview (KPIs)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pct" w:w="25%"/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A6F97"/>
                <w:sz w:val="26"/>
                <w:szCs w:val="26"/>
              </w:rPr>
              <w:t xml:space="preserve">$484,559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Total Revenue</w:t>
            </w:r>
          </w:p>
        </w:tc>
        <w:tc>
          <w:tcPr>
            <w:tcW w:type="pct" w:w="25%"/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A6F97"/>
                <w:sz w:val="26"/>
                <w:szCs w:val="26"/>
              </w:rPr>
              <w:t xml:space="preserve">2,000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Total Orders</w:t>
            </w:r>
          </w:p>
        </w:tc>
        <w:tc>
          <w:tcPr>
            <w:tcW w:type="pct" w:w="25%"/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A6F97"/>
                <w:sz w:val="26"/>
                <w:szCs w:val="26"/>
              </w:rPr>
              <w:t xml:space="preserve">$158,872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Total Profit</w:t>
            </w:r>
          </w:p>
        </w:tc>
        <w:tc>
          <w:tcPr>
            <w:tcW w:type="pct" w:w="25%"/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A6F97"/>
                <w:sz w:val="26"/>
                <w:szCs w:val="26"/>
              </w:rPr>
              <w:t xml:space="preserve">32.8%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Profit Margin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1: Yearly Revenue vs Profit</w:t>
      </w:r>
    </w:p>
    <w:p>
      <w:pPr>
        <w:pStyle w:val="Heading1"/>
        <w:spacing w:after="150" w:before="300"/>
      </w:pPr>
      <w:r>
        <w:t xml:space="preserve">4. Exploratory Data Analysis</w:t>
      </w:r>
    </w:p>
    <w:p>
      <w:pPr>
        <w:pStyle w:val="Heading2"/>
        <w:spacing w:after="120" w:before="240"/>
      </w:pPr>
      <w:r>
        <w:t xml:space="preserve">4.1 Monthly Sales Trend</w:t>
      </w:r>
    </w:p>
    <w:p>
      <w:pPr>
        <w:spacing w:after="160"/>
      </w:pPr>
      <w:r>
        <w:t xml:space="preserve">Monthly revenue fluctuates across the three-year period without a single dominant seasonal spike, indicating fairly stable demand across the year with periodic month-to-month variation.</w:t>
      </w:r>
    </w:p>
    <w:p>
      <w:pPr>
        <w:spacing w:after="60"/>
        <w:jc w:val="center"/>
      </w:pPr>
      <w:r>
        <w:drawing>
          <wp:inline distT="0" distB="0" distL="0" distR="0">
            <wp:extent cx="5334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2: Monthly Sales Trend (2023–2025)</w:t>
      </w:r>
    </w:p>
    <w:p>
      <w:pPr>
        <w:pStyle w:val="Heading2"/>
        <w:spacing w:after="120" w:before="240"/>
      </w:pPr>
      <w:r>
        <w:t xml:space="preserve">4.2 Top Selling Products</w:t>
      </w:r>
    </w:p>
    <w:p>
      <w:pPr>
        <w:spacing w:after="160"/>
      </w:pPr>
      <w:r>
        <w:t xml:space="preserve">The Standing Desk Converter is the top revenue-generating product, reflecting strong demand for home/office furniture upgrades.</w:t>
      </w:r>
    </w:p>
    <w:p>
      <w:pPr>
        <w:spacing w:after="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3: Top 10 Products by Revenue</w:t>
      </w:r>
    </w:p>
    <w:p>
      <w:pPr>
        <w:pStyle w:val="Heading2"/>
        <w:spacing w:after="120" w:before="240"/>
      </w:pPr>
      <w:r>
        <w:t xml:space="preserve">4.3 Best Performing Categories</w:t>
      </w:r>
    </w:p>
    <w:p>
      <w:pPr>
        <w:spacing w:after="160"/>
      </w:pPr>
      <w:r>
        <w:t xml:space="preserve">Furniture is the top-performing category by total revenue, followed by Technology. Both categories also contribute strongly to overall profit.</w:t>
      </w:r>
    </w:p>
    <w:p>
      <w:pPr>
        <w:spacing w:after="6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4: Category Performance — Sales vs Profit</w:t>
      </w:r>
    </w:p>
    <w:p>
      <w:pPr>
        <w:pStyle w:val="Heading2"/>
        <w:spacing w:after="120" w:before="240"/>
      </w:pPr>
      <w:r>
        <w:t xml:space="preserve">4.4 Regional Sales Performance</w:t>
      </w:r>
    </w:p>
    <w:p>
      <w:pPr>
        <w:spacing w:after="160"/>
      </w:pPr>
      <w:r>
        <w:t xml:space="preserve">Europe leads all regions in total sales, followed by North America, with the remaining regions contributing smaller but meaningful shares.</w:t>
      </w:r>
    </w:p>
    <w:p>
      <w:pPr>
        <w:spacing w:after="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5: Regional Sales Performance</w:t>
      </w:r>
    </w:p>
    <w:p>
      <w:pPr>
        <w:pStyle w:val="Heading2"/>
        <w:spacing w:after="120" w:before="240"/>
      </w:pPr>
      <w:r>
        <w:t xml:space="preserve">4.5 Customer Purchase Behavior</w:t>
      </w:r>
    </w:p>
    <w:p>
      <w:pPr>
        <w:spacing w:after="160"/>
      </w:pPr>
      <w:r>
        <w:t xml:space="preserve">The Consumer segment generates the highest total revenue and order volume, while also maintaining the highest average order value among the three segments, ahead of Corporate and Home Office.</w:t>
      </w:r>
    </w:p>
    <w:p>
      <w:pPr>
        <w:spacing w:after="6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6: Sales and Average Order Value by Customer Segment</w:t>
      </w:r>
    </w:p>
    <w:p>
      <w:pPr>
        <w:pStyle w:val="Heading2"/>
        <w:spacing w:after="120" w:before="240"/>
      </w:pPr>
      <w:r>
        <w:t xml:space="preserve">4.6 Payment Method Analysis</w:t>
      </w:r>
    </w:p>
    <w:p>
      <w:pPr>
        <w:spacing w:after="160"/>
      </w:pPr>
      <w:r>
        <w:t xml:space="preserve">Credit Card is the most frequently used payment method, accounting for roughly 40% of all orders, followed by the other three methods in fairly even proportions.</w:t>
      </w:r>
    </w:p>
    <w:p>
      <w:pPr>
        <w:spacing w:after="6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7: Payment Method Distribution</w:t>
      </w:r>
    </w:p>
    <w:p>
      <w:pPr>
        <w:pStyle w:val="Heading2"/>
        <w:spacing w:after="120" w:before="240"/>
      </w:pPr>
      <w:r>
        <w:t xml:space="preserve">4.7 Correlation Analysis</w:t>
      </w:r>
    </w:p>
    <w:p>
      <w:pPr>
        <w:spacing w:after="160"/>
      </w:pPr>
      <w:r>
        <w:t xml:space="preserve">As expected, Total_Sales is strongly correlated with Quantity and Unit_Price, while Discount_Percent shows a comparatively weaker relationship with final sales value.</w:t>
      </w:r>
    </w:p>
    <w:p>
      <w:pPr>
        <w:spacing w:after="60"/>
        <w:jc w:val="center"/>
      </w:pPr>
      <w:r>
        <w:drawing>
          <wp:inline distT="0" distB="0" distL="0" distR="0">
            <wp:extent cx="5334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8: Correlation Heatmap of Numeric Features</w:t>
      </w:r>
    </w:p>
    <w:p>
      <w:pPr>
        <w:pStyle w:val="Heading1"/>
        <w:spacing w:after="150" w:before="300"/>
      </w:pPr>
      <w:r>
        <w:t xml:space="preserve">5. Machine Learning — Sales Prediction</w:t>
      </w:r>
    </w:p>
    <w:p>
      <w:pPr>
        <w:spacing w:after="160"/>
      </w:pPr>
      <w:r>
        <w:t xml:space="preserve">The goal of the modeling phase was to predict Total_Sales for an order based on customer, product, and order-level attributes. Categorical features (Customer Segment, Country, Region, Product Category, Day of Week) were one-hot encoded, and numeric features (Quantity, Unit Price, Discount %, Shipping Cost, Month, Quarter) were standardized. The data was split 80/20 into training and testing sets.</w:t>
      </w:r>
    </w:p>
    <w:p>
      <w:pPr>
        <w:pStyle w:val="Heading2"/>
        <w:spacing w:after="120" w:before="240"/>
      </w:pPr>
      <w:r>
        <w:t xml:space="preserve">5.1 Models Trained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Linear Regression — baseline linear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 Tree Regressor (max depth = 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 Forest Regressor (200 trees, max depth = 12)</w:t>
      </w:r>
    </w:p>
    <w:p>
      <w:pPr>
        <w:pStyle w:val="Heading2"/>
        <w:spacing w:after="120" w:before="240"/>
      </w:pPr>
      <w:r>
        <w:t xml:space="preserve">5.2 Model Comparison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0"/>
      </w:tblGrid>
      <w:tr>
        <w:trPr>
          <w:tblHeader/>
        </w:trPr>
        <w:tc>
          <w:tcPr>
            <w:tcW w:type="dxa" w:w="350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 ($)</w:t>
            </w:r>
          </w:p>
        </w:tc>
        <w:tc>
          <w:tcPr>
            <w:tcW w:type="dxa" w:w="200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 ($)</w:t>
            </w:r>
          </w:p>
        </w:tc>
        <w:tc>
          <w:tcPr>
            <w:tcW w:type="dxa" w:w="200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Random Forest Regressor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19.59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65.64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>
            <w:tcW w:type="dxa" w:w="3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Decision Tree Regressor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26.03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79.61</w:t>
            </w:r>
          </w:p>
        </w:tc>
        <w:tc>
          <w:tcPr>
            <w:tcW w:type="dxa" w:w="2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0.953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119.85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198.20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0.709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9: Model Comparison by R² Score</w:t>
      </w:r>
    </w:p>
    <w:p>
      <w:pPr>
        <w:pStyle w:val="Heading2"/>
        <w:spacing w:after="120" w:before="240"/>
      </w:pPr>
      <w:r>
        <w:t xml:space="preserve">5.3 Best Model Selected</w:t>
      </w:r>
    </w:p>
    <w:p>
      <w:pPr>
        <w:spacing w:after="160"/>
      </w:pPr>
      <w:r>
        <w:t xml:space="preserve">The Random Forest Regressor was selected as the final model, achieving the lowest error (MAE of $19.59, RMSE of $65.64) and the highest R² score of 0.968 — meaning it explains about 96.8% of the variance in order sales value. This model was saved as sales_prediction_model.pkl and integrated into the Streamlit dashboard's Sales Prediction tab.</w:t>
      </w:r>
    </w:p>
    <w:p>
      <w:pPr>
        <w:spacing w:after="60"/>
        <w:jc w:val="center"/>
      </w:pPr>
      <w:r>
        <w:drawing>
          <wp:inline distT="0" distB="0" distL="0" distR="0">
            <wp:extent cx="5334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10: Actual vs Predicted Sales (Random Forest)</w:t>
      </w:r>
    </w:p>
    <w:p>
      <w:pPr>
        <w:pStyle w:val="Heading1"/>
        <w:spacing w:after="150" w:before="300"/>
      </w:pPr>
      <w:r>
        <w:t xml:space="preserve">6. Interactive Dashboard</w:t>
      </w:r>
    </w:p>
    <w:p>
      <w:pPr>
        <w:spacing w:after="160"/>
      </w:pPr>
      <w:r>
        <w:t xml:space="preserve">A Streamlit dashboard (app.py) was built with the following features: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Overview — KPI cards and monthly sales trend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Products &amp; Category-wise Sales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Regional Performance — by region and country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Insights — segment-level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Prediction — interactive form using the trained Random Forest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Cards — Revenue, Orders, Profit, Profit Margin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Sidebar filters for Region, Category, Customer Segment, and Date Range</w:t>
      </w:r>
    </w:p>
    <w:p>
      <w:pPr>
        <w:spacing w:after="160"/>
      </w:pPr>
      <w:r>
        <w:rPr>
          <w:i/>
          <w:iCs/>
        </w:rPr>
        <w:t xml:space="preserve">Run locally with: pip install -r requirements.txt  &amp;&amp;  streamlit run app.py</w:t>
      </w:r>
    </w:p>
    <w:p>
      <w:pPr>
        <w:pStyle w:val="Heading1"/>
        <w:spacing w:after="150" w:before="300"/>
      </w:pPr>
      <w:r>
        <w:t xml:space="preserve">7. Key Business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Furniture and Technology are the two strongest revenue and profit-generating categories.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Europe is the top-performing region, suggesting stronger market penetration there.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Consumer segment drives the most revenue and the highest average order values.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Credit Card is the dominant payment method at ~40% of transactions.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are fairly stable year-over-year (2023–2025) with no major seasonal category shift.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Random Forest model provides highly reliable sales predictions (R² = 0.968), making it suitable for forecasting and planning.</w:t>
      </w:r>
    </w:p>
    <w:p>
      <w:pPr>
        <w:pStyle w:val="Heading1"/>
        <w:spacing w:after="150" w:before="300"/>
      </w:pPr>
      <w:r>
        <w:t xml:space="preserve">8. Final Deliverables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000"/>
            <w:shd w:fill="1D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Code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analysis.py, eda.py, ml_model.py, app.py</w:t>
            </w:r>
          </w:p>
        </w:tc>
      </w:tr>
      <w:tr>
        <w:tc>
          <w:tcPr>
            <w:tcW w:type="dxa" w:w="3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6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ecommerce_sales_analysis.ipynb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Cleaned Dataset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global_ecommerce_sales_cleaned.csv</w:t>
            </w:r>
          </w:p>
        </w:tc>
      </w:tr>
      <w:tr>
        <w:tc>
          <w:tcPr>
            <w:tcW w:type="dxa" w:w="3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Trained ML Model</w:t>
            </w:r>
          </w:p>
        </w:tc>
        <w:tc>
          <w:tcPr>
            <w:tcW w:type="dxa" w:w="6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sales_prediction_model.pkl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Streamlit Dashboard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35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Project Report</w:t>
            </w:r>
          </w:p>
        </w:tc>
        <w:tc>
          <w:tcPr>
            <w:tcW w:type="dxa" w:w="6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Project_Report.docx (this document)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Dataset Source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Kaggle — Global E-Commerce Sales &amp; Customer Data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Dataset link: https://www.kaggle.com/datasets/muhammadaammartufail/global-e-commerce-sales-and-customer-data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rzw3abtxx0pd34jdkgiu" Type="http://schemas.openxmlformats.org/officeDocument/2006/relationships/hyperlink" Target="https://www.kaggle.com/datasets/muhammadaammartufail/global-e-commerce-sales-and-customer-data" TargetMode="External"/><Relationship Id="rIdytf7u9x51nawgf1ezs5tk" Type="http://schemas.openxmlformats.org/officeDocument/2006/relationships/hyperlink" Target="https://www.kaggle.com/datasets/muhammadaammartufail/global-e-commerce-sales-and-customer-data" TargetMode="External"/><Relationship Id="rId7" Type="http://schemas.openxmlformats.org/officeDocument/2006/relationships/image" Target="media/63aa8ea7e12aaed56a540d63d3f14bf8e54a881c.png"/><Relationship Id="rId8" Type="http://schemas.openxmlformats.org/officeDocument/2006/relationships/image" Target="media/796ccc1a45cd76111c04575c9bf50910f0782f9e.png"/><Relationship Id="rId9" Type="http://schemas.openxmlformats.org/officeDocument/2006/relationships/image" Target="media/25a8229046f611a58b8ab9ccb172378c5c2e89e7.png"/><Relationship Id="rId10" Type="http://schemas.openxmlformats.org/officeDocument/2006/relationships/image" Target="media/e740ca8d07a5922e936d72455115f83fdc34ae5f.png"/><Relationship Id="rId11" Type="http://schemas.openxmlformats.org/officeDocument/2006/relationships/image" Target="media/3e67bf0fcf2aa4f4dca734ea4e53aac4a440cf19.png"/><Relationship Id="rId12" Type="http://schemas.openxmlformats.org/officeDocument/2006/relationships/image" Target="media/40551028b3b19104095218da65352a6ed8a184cc.png"/><Relationship Id="rId13" Type="http://schemas.openxmlformats.org/officeDocument/2006/relationships/image" Target="media/f85d8416b3f3fd89ad1e104ed75577cb36566fba.png"/><Relationship Id="rId14" Type="http://schemas.openxmlformats.org/officeDocument/2006/relationships/image" Target="media/d30da619623da8d708f506b49a9fbc091134a1a1.png"/><Relationship Id="rId15" Type="http://schemas.openxmlformats.org/officeDocument/2006/relationships/image" Target="media/1df65c1bebc24723705f1a21b4303b84dc6d3a8d.png"/><Relationship Id="rId16" Type="http://schemas.openxmlformats.org/officeDocument/2006/relationships/image" Target="media/3b0ea895616a8efbcf53122ca34d3b79eed222b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2026-07-05T09:07:02.929Z</dcterms:created>
  <dcterms:modified xsi:type="dcterms:W3CDTF">2026-07-05T09:07:02.930Z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