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63085918"/>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290E7B6" w14:textId="0EA3A890" w:rsidR="001F0AD7" w:rsidRDefault="001F0AD7">
          <w:pPr>
            <w:pStyle w:val="TOCHeading"/>
          </w:pPr>
          <w:r>
            <w:t>Table of Contents</w:t>
          </w:r>
        </w:p>
        <w:p w14:paraId="3C161EE3" w14:textId="59F106ED" w:rsidR="001F0AD7" w:rsidRDefault="001F0AD7">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31DC88F3" w14:textId="6837DA97" w:rsidR="001F0AD7" w:rsidRDefault="001F0AD7" w:rsidP="00E436D0">
      <w:pPr>
        <w:rPr>
          <w:b/>
          <w:bCs/>
        </w:rPr>
      </w:pPr>
    </w:p>
    <w:p w14:paraId="41C9B77C" w14:textId="77777777" w:rsidR="001F0AD7" w:rsidRDefault="001F0AD7">
      <w:pPr>
        <w:rPr>
          <w:b/>
          <w:bCs/>
        </w:rPr>
      </w:pPr>
      <w:r>
        <w:rPr>
          <w:b/>
          <w:bCs/>
        </w:rPr>
        <w:br w:type="page"/>
      </w:r>
    </w:p>
    <w:p w14:paraId="230093EE" w14:textId="77777777" w:rsidR="001F0AD7" w:rsidRDefault="001F0AD7" w:rsidP="00E436D0">
      <w:pPr>
        <w:rPr>
          <w:b/>
          <w:bCs/>
        </w:rPr>
      </w:pPr>
    </w:p>
    <w:p w14:paraId="3AA38C50" w14:textId="2F4AAA36" w:rsidR="001F0AD7" w:rsidRDefault="001F0AD7">
      <w:pPr>
        <w:rPr>
          <w:b/>
          <w:bCs/>
        </w:rPr>
      </w:pPr>
    </w:p>
    <w:p w14:paraId="38E42E8E" w14:textId="747EAC43" w:rsidR="00E436D0" w:rsidRPr="00E436D0" w:rsidRDefault="00E436D0" w:rsidP="00E436D0">
      <w:pPr>
        <w:rPr>
          <w:b/>
          <w:bCs/>
          <w:vanish/>
        </w:rPr>
      </w:pPr>
      <w:r w:rsidRPr="00E436D0">
        <w:rPr>
          <w:b/>
          <w:bCs/>
          <w:vanish/>
        </w:rPr>
        <w:t>Top of Form</w:t>
      </w:r>
    </w:p>
    <w:p w14:paraId="24DAD16F" w14:textId="77777777" w:rsidR="00E436D0" w:rsidRPr="00E436D0" w:rsidRDefault="00E436D0" w:rsidP="00E436D0">
      <w:pPr>
        <w:rPr>
          <w:b/>
          <w:bCs/>
        </w:rPr>
      </w:pPr>
      <w:r w:rsidRPr="00E436D0">
        <w:rPr>
          <w:b/>
          <w:bCs/>
        </w:rPr>
        <w:t xml:space="preserve">Consumer Preferences and Behavior in the Egyptian Energy Drink Market </w:t>
      </w:r>
    </w:p>
    <w:p w14:paraId="79A14C9D" w14:textId="77777777" w:rsidR="00E436D0" w:rsidRPr="00E436D0" w:rsidRDefault="00E436D0" w:rsidP="00E436D0">
      <w:pPr>
        <w:rPr>
          <w:b/>
          <w:bCs/>
          <w:vanish/>
        </w:rPr>
      </w:pPr>
      <w:r w:rsidRPr="00E436D0">
        <w:rPr>
          <w:b/>
          <w:bCs/>
          <w:vanish/>
        </w:rPr>
        <w:t>Bottom of Form</w:t>
      </w:r>
    </w:p>
    <w:p w14:paraId="79C2FF41" w14:textId="77777777" w:rsidR="00650DD6" w:rsidRPr="00650DD6" w:rsidRDefault="00650DD6" w:rsidP="00650DD6">
      <w:r w:rsidRPr="00650DD6">
        <w:pict w14:anchorId="46F42852">
          <v:rect id="_x0000_i1124" style="width:0;height:1.5pt" o:hralign="center" o:hrstd="t" o:hr="t" fillcolor="#a0a0a0" stroked="f"/>
        </w:pict>
      </w:r>
    </w:p>
    <w:p w14:paraId="48C75281" w14:textId="77777777" w:rsidR="00650DD6" w:rsidRPr="001F0AD7" w:rsidRDefault="00650DD6" w:rsidP="001F0AD7">
      <w:r w:rsidRPr="001F0AD7">
        <w:t>Executive Summary</w:t>
      </w:r>
    </w:p>
    <w:p w14:paraId="21B4FC4D" w14:textId="77777777" w:rsidR="00650DD6" w:rsidRPr="00650DD6" w:rsidRDefault="00650DD6" w:rsidP="00650DD6">
      <w:r w:rsidRPr="00650DD6">
        <w:t>NutriBev, a leading global FMCG company, conducted a comprehensive market research study to inform the launch of its new energy drink targeted at young adults (ages 18–35) in urban areas. The analysis focused on five key areas: Flavor Preferences, Pricing, Consumption Habits, Brand Perception, and Packaging. Using survey data from 369 respondents, this report identifies actionable insights for product development, pricing strategy, marketing campaigns, and distribution.</w:t>
      </w:r>
    </w:p>
    <w:p w14:paraId="373FDCDB" w14:textId="77777777" w:rsidR="00650DD6" w:rsidRPr="00650DD6" w:rsidRDefault="00650DD6" w:rsidP="00650DD6">
      <w:r w:rsidRPr="00650DD6">
        <w:t>Key findings indicate that:</w:t>
      </w:r>
    </w:p>
    <w:p w14:paraId="280890F5" w14:textId="77777777" w:rsidR="00650DD6" w:rsidRPr="00650DD6" w:rsidRDefault="00650DD6" w:rsidP="00650DD6">
      <w:pPr>
        <w:numPr>
          <w:ilvl w:val="0"/>
          <w:numId w:val="1"/>
        </w:numPr>
      </w:pPr>
      <w:r w:rsidRPr="00650DD6">
        <w:rPr>
          <w:b/>
          <w:bCs/>
        </w:rPr>
        <w:t>Citrus</w:t>
      </w:r>
      <w:r w:rsidRPr="00650DD6">
        <w:t xml:space="preserve"> is the </w:t>
      </w:r>
      <w:proofErr w:type="gramStart"/>
      <w:r w:rsidRPr="00650DD6">
        <w:t>most preferred</w:t>
      </w:r>
      <w:proofErr w:type="gramEnd"/>
      <w:r w:rsidRPr="00650DD6">
        <w:t xml:space="preserve"> flavor, followed by Berry and Tropical.</w:t>
      </w:r>
    </w:p>
    <w:p w14:paraId="6BADC0D9" w14:textId="77777777" w:rsidR="00650DD6" w:rsidRPr="00650DD6" w:rsidRDefault="00650DD6" w:rsidP="00650DD6">
      <w:pPr>
        <w:numPr>
          <w:ilvl w:val="0"/>
          <w:numId w:val="1"/>
        </w:numPr>
      </w:pPr>
      <w:r w:rsidRPr="00650DD6">
        <w:t xml:space="preserve">Consumers are willing to pay </w:t>
      </w:r>
      <w:r w:rsidRPr="00650DD6">
        <w:rPr>
          <w:b/>
          <w:bCs/>
        </w:rPr>
        <w:t>above EGP 25</w:t>
      </w:r>
      <w:r w:rsidRPr="00650DD6">
        <w:t>, especially higher-income groups.</w:t>
      </w:r>
    </w:p>
    <w:p w14:paraId="03CC275E" w14:textId="77777777" w:rsidR="00650DD6" w:rsidRPr="00650DD6" w:rsidRDefault="00650DD6" w:rsidP="00650DD6">
      <w:pPr>
        <w:numPr>
          <w:ilvl w:val="0"/>
          <w:numId w:val="1"/>
        </w:numPr>
      </w:pPr>
      <w:r w:rsidRPr="00650DD6">
        <w:rPr>
          <w:b/>
          <w:bCs/>
        </w:rPr>
        <w:t>Frequent users</w:t>
      </w:r>
      <w:r w:rsidRPr="00650DD6">
        <w:t xml:space="preserve"> prioritize taste and convenience, while </w:t>
      </w:r>
      <w:r w:rsidRPr="00650DD6">
        <w:rPr>
          <w:b/>
          <w:bCs/>
        </w:rPr>
        <w:t>occasional users</w:t>
      </w:r>
      <w:r w:rsidRPr="00650DD6">
        <w:t xml:space="preserve"> value affordability and health benefits.</w:t>
      </w:r>
    </w:p>
    <w:p w14:paraId="4A0EEF3B" w14:textId="77777777" w:rsidR="00650DD6" w:rsidRPr="00650DD6" w:rsidRDefault="00650DD6" w:rsidP="00650DD6">
      <w:pPr>
        <w:numPr>
          <w:ilvl w:val="0"/>
          <w:numId w:val="1"/>
        </w:numPr>
      </w:pPr>
      <w:r w:rsidRPr="00650DD6">
        <w:t xml:space="preserve">Brand loyalty is driven by </w:t>
      </w:r>
      <w:r w:rsidRPr="00650DD6">
        <w:rPr>
          <w:b/>
          <w:bCs/>
        </w:rPr>
        <w:t>taste</w:t>
      </w:r>
      <w:r w:rsidRPr="00650DD6">
        <w:t xml:space="preserve">, </w:t>
      </w:r>
      <w:r w:rsidRPr="00650DD6">
        <w:rPr>
          <w:b/>
          <w:bCs/>
        </w:rPr>
        <w:t>brand reputation</w:t>
      </w:r>
      <w:r w:rsidRPr="00650DD6">
        <w:t xml:space="preserve">, and </w:t>
      </w:r>
      <w:r w:rsidRPr="00650DD6">
        <w:rPr>
          <w:b/>
          <w:bCs/>
        </w:rPr>
        <w:t>availability</w:t>
      </w:r>
      <w:r w:rsidRPr="00650DD6">
        <w:t>.</w:t>
      </w:r>
    </w:p>
    <w:p w14:paraId="39FC791C" w14:textId="77777777" w:rsidR="00650DD6" w:rsidRPr="00650DD6" w:rsidRDefault="00650DD6" w:rsidP="00650DD6">
      <w:pPr>
        <w:numPr>
          <w:ilvl w:val="0"/>
          <w:numId w:val="1"/>
        </w:numPr>
      </w:pPr>
      <w:r w:rsidRPr="00650DD6">
        <w:t>Cans are the preferred packaging type, with eco-friendly options appealing to environmentally conscious consumers.</w:t>
      </w:r>
    </w:p>
    <w:p w14:paraId="25BEF65F" w14:textId="77777777" w:rsidR="00650DD6" w:rsidRPr="00650DD6" w:rsidRDefault="00650DD6" w:rsidP="00650DD6">
      <w:r w:rsidRPr="00650DD6">
        <w:t>Based on these insights, NutriBev should focus on offering premium-priced energy drinks with natural ingredients, unique flavors, and sustainable packaging to maximize profitability and appeal to target segments.</w:t>
      </w:r>
    </w:p>
    <w:p w14:paraId="29FE7421" w14:textId="77777777" w:rsidR="00650DD6" w:rsidRPr="00650DD6" w:rsidRDefault="00650DD6" w:rsidP="00650DD6">
      <w:r w:rsidRPr="00650DD6">
        <w:pict w14:anchorId="1FBBB359">
          <v:rect id="_x0000_i1125" style="width:0;height:1.5pt" o:hralign="center" o:hrstd="t" o:hr="t" fillcolor="#a0a0a0" stroked="f"/>
        </w:pict>
      </w:r>
    </w:p>
    <w:p w14:paraId="21B9D2C2" w14:textId="77777777" w:rsidR="00650DD6" w:rsidRPr="00650DD6" w:rsidRDefault="00650DD6" w:rsidP="00650DD6">
      <w:pPr>
        <w:rPr>
          <w:b/>
          <w:bCs/>
        </w:rPr>
      </w:pPr>
      <w:r w:rsidRPr="00650DD6">
        <w:rPr>
          <w:b/>
          <w:bCs/>
        </w:rPr>
        <w:t>1. Introduction</w:t>
      </w:r>
    </w:p>
    <w:p w14:paraId="70D71BDD" w14:textId="77777777" w:rsidR="00650DD6" w:rsidRPr="00650DD6" w:rsidRDefault="00650DD6" w:rsidP="00650DD6">
      <w:pPr>
        <w:rPr>
          <w:b/>
          <w:bCs/>
        </w:rPr>
      </w:pPr>
      <w:r w:rsidRPr="00650DD6">
        <w:rPr>
          <w:b/>
          <w:bCs/>
        </w:rPr>
        <w:t>Company Background</w:t>
      </w:r>
    </w:p>
    <w:p w14:paraId="0754E0C1" w14:textId="77777777" w:rsidR="00650DD6" w:rsidRPr="00650DD6" w:rsidRDefault="00650DD6" w:rsidP="00650DD6">
      <w:r w:rsidRPr="00650DD6">
        <w:t>NutriBev is known for its innovative and health-focused beverage products, including juices, flavored water, and energy drinks. With a strong presence in over 50 countries, the company aims to differentiate itself in the competitive energy drink market through unique flavors, natural ingredients, and eco-friendly practices.</w:t>
      </w:r>
    </w:p>
    <w:p w14:paraId="5E3EFC24" w14:textId="77777777" w:rsidR="00650DD6" w:rsidRPr="00650DD6" w:rsidRDefault="00650DD6" w:rsidP="00650DD6">
      <w:pPr>
        <w:rPr>
          <w:b/>
          <w:bCs/>
        </w:rPr>
      </w:pPr>
      <w:r w:rsidRPr="00650DD6">
        <w:rPr>
          <w:b/>
          <w:bCs/>
        </w:rPr>
        <w:t>Objective</w:t>
      </w:r>
    </w:p>
    <w:p w14:paraId="315BDB7A" w14:textId="77777777" w:rsidR="00650DD6" w:rsidRPr="00650DD6" w:rsidRDefault="00650DD6" w:rsidP="00650DD6">
      <w:r w:rsidRPr="00650DD6">
        <w:lastRenderedPageBreak/>
        <w:t>The objective of this study is to identify consumer preferences, determine an optimal pricing strategy, segment the market effectively, and analyze competitor positioning to guide the launch of NutriBev’s new energy drink.</w:t>
      </w:r>
    </w:p>
    <w:p w14:paraId="2BFFAE77" w14:textId="77777777" w:rsidR="00650DD6" w:rsidRPr="00650DD6" w:rsidRDefault="00650DD6" w:rsidP="00650DD6">
      <w:r w:rsidRPr="00650DD6">
        <w:pict w14:anchorId="7EDC23D6">
          <v:rect id="_x0000_i1126" style="width:0;height:1.5pt" o:hralign="center" o:hrstd="t" o:hr="t" fillcolor="#a0a0a0" stroked="f"/>
        </w:pict>
      </w:r>
    </w:p>
    <w:p w14:paraId="0AD4C83A" w14:textId="77777777" w:rsidR="00650DD6" w:rsidRPr="00650DD6" w:rsidRDefault="00650DD6" w:rsidP="00650DD6">
      <w:pPr>
        <w:rPr>
          <w:b/>
          <w:bCs/>
        </w:rPr>
      </w:pPr>
      <w:r w:rsidRPr="00650DD6">
        <w:rPr>
          <w:b/>
          <w:bCs/>
        </w:rPr>
        <w:t>2. Key Findings</w:t>
      </w:r>
    </w:p>
    <w:p w14:paraId="20120701" w14:textId="77777777" w:rsidR="00650DD6" w:rsidRPr="00650DD6" w:rsidRDefault="00650DD6" w:rsidP="00650DD6">
      <w:pPr>
        <w:rPr>
          <w:b/>
          <w:bCs/>
        </w:rPr>
      </w:pPr>
      <w:r w:rsidRPr="00650DD6">
        <w:rPr>
          <w:b/>
          <w:bCs/>
        </w:rPr>
        <w:t>2.1 Flavor Preferences</w:t>
      </w:r>
    </w:p>
    <w:p w14:paraId="6EA37219" w14:textId="77777777" w:rsidR="00650DD6" w:rsidRPr="00650DD6" w:rsidRDefault="00650DD6" w:rsidP="00650DD6">
      <w:pPr>
        <w:numPr>
          <w:ilvl w:val="0"/>
          <w:numId w:val="2"/>
        </w:numPr>
      </w:pPr>
      <w:r w:rsidRPr="00650DD6">
        <w:rPr>
          <w:b/>
          <w:bCs/>
        </w:rPr>
        <w:t>Top Preferred Flavors:</w:t>
      </w:r>
      <w:r w:rsidRPr="00650DD6">
        <w:t xml:space="preserve"> Citrus (37.3%), Berry (21.0%), Tropical (18.1%).</w:t>
      </w:r>
    </w:p>
    <w:p w14:paraId="0F5D26E4" w14:textId="77777777" w:rsidR="00650DD6" w:rsidRPr="00650DD6" w:rsidRDefault="00650DD6" w:rsidP="00650DD6">
      <w:pPr>
        <w:numPr>
          <w:ilvl w:val="0"/>
          <w:numId w:val="2"/>
        </w:numPr>
      </w:pPr>
      <w:r w:rsidRPr="00650DD6">
        <w:rPr>
          <w:b/>
          <w:bCs/>
        </w:rPr>
        <w:t>Demographic Differences:</w:t>
      </w:r>
      <w:r w:rsidRPr="00650DD6">
        <w:t xml:space="preserve"> </w:t>
      </w:r>
    </w:p>
    <w:p w14:paraId="03A9AB69" w14:textId="77777777" w:rsidR="00650DD6" w:rsidRPr="00650DD6" w:rsidRDefault="00650DD6" w:rsidP="00650DD6">
      <w:pPr>
        <w:numPr>
          <w:ilvl w:val="1"/>
          <w:numId w:val="2"/>
        </w:numPr>
      </w:pPr>
      <w:r w:rsidRPr="00650DD6">
        <w:rPr>
          <w:b/>
          <w:bCs/>
        </w:rPr>
        <w:t>Age:</w:t>
      </w:r>
      <w:r w:rsidRPr="00650DD6">
        <w:t xml:space="preserve"> Younger age groups (18–24) prefer Citrus and Berry, while older groups (25–34) lean toward Tropical and Mint.</w:t>
      </w:r>
    </w:p>
    <w:p w14:paraId="1F217F90" w14:textId="77777777" w:rsidR="00650DD6" w:rsidRPr="00650DD6" w:rsidRDefault="00650DD6" w:rsidP="00650DD6">
      <w:pPr>
        <w:numPr>
          <w:ilvl w:val="1"/>
          <w:numId w:val="2"/>
        </w:numPr>
      </w:pPr>
      <w:r w:rsidRPr="00650DD6">
        <w:rPr>
          <w:b/>
          <w:bCs/>
        </w:rPr>
        <w:t>Gender:</w:t>
      </w:r>
      <w:r w:rsidRPr="00650DD6">
        <w:t xml:space="preserve"> Males favor Mint (68.6%) and Citrus (54.5%), while females prefer Berry (63.2%).</w:t>
      </w:r>
    </w:p>
    <w:p w14:paraId="6327756D" w14:textId="77777777" w:rsidR="00650DD6" w:rsidRPr="00650DD6" w:rsidRDefault="00650DD6" w:rsidP="00650DD6">
      <w:pPr>
        <w:numPr>
          <w:ilvl w:val="1"/>
          <w:numId w:val="2"/>
        </w:numPr>
      </w:pPr>
      <w:r w:rsidRPr="00650DD6">
        <w:rPr>
          <w:b/>
          <w:bCs/>
        </w:rPr>
        <w:t>City:</w:t>
      </w:r>
      <w:r w:rsidRPr="00650DD6">
        <w:t xml:space="preserve"> Residents of Cairo and Alexandria strongly prefer Citrus, whereas Alexandria residents also favor Berry.</w:t>
      </w:r>
    </w:p>
    <w:p w14:paraId="7BD0C6B0" w14:textId="77777777" w:rsidR="00650DD6" w:rsidRPr="00650DD6" w:rsidRDefault="00650DD6" w:rsidP="00650DD6">
      <w:pPr>
        <w:numPr>
          <w:ilvl w:val="0"/>
          <w:numId w:val="2"/>
        </w:numPr>
      </w:pPr>
      <w:r w:rsidRPr="00650DD6">
        <w:rPr>
          <w:b/>
          <w:bCs/>
        </w:rPr>
        <w:t>Natural Ingredients Correlation:</w:t>
      </w:r>
      <w:r w:rsidRPr="00650DD6">
        <w:t xml:space="preserve"> </w:t>
      </w:r>
    </w:p>
    <w:p w14:paraId="136343F4" w14:textId="77777777" w:rsidR="00650DD6" w:rsidRPr="00650DD6" w:rsidRDefault="00650DD6" w:rsidP="00650DD6">
      <w:pPr>
        <w:numPr>
          <w:ilvl w:val="1"/>
          <w:numId w:val="2"/>
        </w:numPr>
      </w:pPr>
      <w:r w:rsidRPr="00650DD6">
        <w:t>Respondents who prioritize natural ingredients are more likely to prefer Citrus (86.3%) and Tropical (72.3%) flavors.</w:t>
      </w:r>
    </w:p>
    <w:p w14:paraId="62329E69" w14:textId="77777777" w:rsidR="00650DD6" w:rsidRPr="00650DD6" w:rsidRDefault="00650DD6" w:rsidP="00650DD6">
      <w:pPr>
        <w:rPr>
          <w:b/>
          <w:bCs/>
        </w:rPr>
      </w:pPr>
      <w:r w:rsidRPr="00650DD6">
        <w:rPr>
          <w:b/>
          <w:bCs/>
        </w:rPr>
        <w:t>2.2 Pricing Strategy</w:t>
      </w:r>
    </w:p>
    <w:p w14:paraId="4AF419E1" w14:textId="77777777" w:rsidR="00650DD6" w:rsidRPr="00650DD6" w:rsidRDefault="00650DD6" w:rsidP="00650DD6">
      <w:pPr>
        <w:numPr>
          <w:ilvl w:val="0"/>
          <w:numId w:val="3"/>
        </w:numPr>
      </w:pPr>
      <w:r w:rsidRPr="00650DD6">
        <w:rPr>
          <w:b/>
          <w:bCs/>
        </w:rPr>
        <w:t>Willingness to Pay:</w:t>
      </w:r>
      <w:r w:rsidRPr="00650DD6">
        <w:t xml:space="preserve"> Above EGP 25 (47.2%), followed by EGP 20–25 (15.4%).</w:t>
      </w:r>
    </w:p>
    <w:p w14:paraId="1191B09F" w14:textId="77777777" w:rsidR="00650DD6" w:rsidRPr="00650DD6" w:rsidRDefault="00650DD6" w:rsidP="00650DD6">
      <w:pPr>
        <w:numPr>
          <w:ilvl w:val="0"/>
          <w:numId w:val="3"/>
        </w:numPr>
      </w:pPr>
      <w:r w:rsidRPr="00650DD6">
        <w:rPr>
          <w:b/>
          <w:bCs/>
        </w:rPr>
        <w:t>Income Influence:</w:t>
      </w:r>
      <w:r w:rsidRPr="00650DD6">
        <w:t xml:space="preserve"> Higher-income respondents (EGP 10,001+) are willing to pay premium prices, while lower-income groups (&lt; EGP 10,000) prioritize affordability.</w:t>
      </w:r>
    </w:p>
    <w:p w14:paraId="1D317C1C" w14:textId="77777777" w:rsidR="00650DD6" w:rsidRPr="00650DD6" w:rsidRDefault="00650DD6" w:rsidP="00650DD6">
      <w:pPr>
        <w:numPr>
          <w:ilvl w:val="0"/>
          <w:numId w:val="3"/>
        </w:numPr>
      </w:pPr>
      <w:r w:rsidRPr="00650DD6">
        <w:rPr>
          <w:b/>
          <w:bCs/>
        </w:rPr>
        <w:t>Price Sensitivity:</w:t>
      </w:r>
      <w:r w:rsidRPr="00650DD6">
        <w:t xml:space="preserve"> Price ranks second among factors influencing purchase decisions, with 39.8% considering it “Extremely Important.”</w:t>
      </w:r>
    </w:p>
    <w:p w14:paraId="0E73086E" w14:textId="77777777" w:rsidR="00650DD6" w:rsidRPr="00650DD6" w:rsidRDefault="00650DD6" w:rsidP="00650DD6">
      <w:pPr>
        <w:rPr>
          <w:b/>
          <w:bCs/>
        </w:rPr>
      </w:pPr>
      <w:r w:rsidRPr="00650DD6">
        <w:rPr>
          <w:b/>
          <w:bCs/>
        </w:rPr>
        <w:t>2.3 Consumption Habits</w:t>
      </w:r>
    </w:p>
    <w:p w14:paraId="6E1717A9" w14:textId="77777777" w:rsidR="00650DD6" w:rsidRPr="00650DD6" w:rsidRDefault="00650DD6" w:rsidP="00650DD6">
      <w:pPr>
        <w:numPr>
          <w:ilvl w:val="0"/>
          <w:numId w:val="4"/>
        </w:numPr>
      </w:pPr>
      <w:r w:rsidRPr="00650DD6">
        <w:rPr>
          <w:b/>
          <w:bCs/>
        </w:rPr>
        <w:t>Frequency:</w:t>
      </w:r>
      <w:r w:rsidRPr="00650DD6">
        <w:t xml:space="preserve"> </w:t>
      </w:r>
    </w:p>
    <w:p w14:paraId="06F394FA" w14:textId="77777777" w:rsidR="00650DD6" w:rsidRPr="00650DD6" w:rsidRDefault="00650DD6" w:rsidP="00650DD6">
      <w:pPr>
        <w:numPr>
          <w:ilvl w:val="1"/>
          <w:numId w:val="4"/>
        </w:numPr>
      </w:pPr>
      <w:r w:rsidRPr="00650DD6">
        <w:t>Daily/3–4 times a week: 34.9% (primarily students and working professionals).</w:t>
      </w:r>
    </w:p>
    <w:p w14:paraId="49A6E18F" w14:textId="77777777" w:rsidR="00650DD6" w:rsidRPr="00650DD6" w:rsidRDefault="00650DD6" w:rsidP="00650DD6">
      <w:pPr>
        <w:numPr>
          <w:ilvl w:val="1"/>
          <w:numId w:val="4"/>
        </w:numPr>
      </w:pPr>
      <w:r w:rsidRPr="00650DD6">
        <w:t>Occasionally (&lt; once a week): 42.3% (predominantly rural or lower-income groups).</w:t>
      </w:r>
    </w:p>
    <w:p w14:paraId="22280145" w14:textId="77777777" w:rsidR="00650DD6" w:rsidRPr="00650DD6" w:rsidRDefault="00650DD6" w:rsidP="00650DD6">
      <w:pPr>
        <w:numPr>
          <w:ilvl w:val="0"/>
          <w:numId w:val="4"/>
        </w:numPr>
      </w:pPr>
      <w:r w:rsidRPr="00650DD6">
        <w:rPr>
          <w:b/>
          <w:bCs/>
        </w:rPr>
        <w:lastRenderedPageBreak/>
        <w:t>Occasions:</w:t>
      </w:r>
      <w:r w:rsidRPr="00650DD6">
        <w:t xml:space="preserve"> </w:t>
      </w:r>
    </w:p>
    <w:p w14:paraId="73C57121" w14:textId="77777777" w:rsidR="00650DD6" w:rsidRPr="00650DD6" w:rsidRDefault="00650DD6" w:rsidP="00650DD6">
      <w:pPr>
        <w:numPr>
          <w:ilvl w:val="1"/>
          <w:numId w:val="4"/>
        </w:numPr>
      </w:pPr>
      <w:r w:rsidRPr="00650DD6">
        <w:t>During work/studies: 53.7%.</w:t>
      </w:r>
    </w:p>
    <w:p w14:paraId="7892009C" w14:textId="77777777" w:rsidR="00650DD6" w:rsidRPr="00650DD6" w:rsidRDefault="00650DD6" w:rsidP="00650DD6">
      <w:pPr>
        <w:numPr>
          <w:ilvl w:val="1"/>
          <w:numId w:val="4"/>
        </w:numPr>
      </w:pPr>
      <w:r w:rsidRPr="00650DD6">
        <w:t>During exercise: 10.6% (strongly correlates with low sugar and natural ingredients).</w:t>
      </w:r>
    </w:p>
    <w:p w14:paraId="142E6A2B" w14:textId="77777777" w:rsidR="00650DD6" w:rsidRPr="00650DD6" w:rsidRDefault="00650DD6" w:rsidP="00650DD6">
      <w:pPr>
        <w:numPr>
          <w:ilvl w:val="1"/>
          <w:numId w:val="4"/>
        </w:numPr>
      </w:pPr>
      <w:r w:rsidRPr="00650DD6">
        <w:t>Social events: 16.8%.</w:t>
      </w:r>
    </w:p>
    <w:p w14:paraId="53ABB316" w14:textId="77777777" w:rsidR="00650DD6" w:rsidRPr="00650DD6" w:rsidRDefault="00650DD6" w:rsidP="00650DD6">
      <w:pPr>
        <w:numPr>
          <w:ilvl w:val="0"/>
          <w:numId w:val="4"/>
        </w:numPr>
      </w:pPr>
      <w:r w:rsidRPr="00650DD6">
        <w:rPr>
          <w:b/>
          <w:bCs/>
        </w:rPr>
        <w:t>Segmentation by Occupation:</w:t>
      </w:r>
      <w:r w:rsidRPr="00650DD6">
        <w:t xml:space="preserve"> </w:t>
      </w:r>
    </w:p>
    <w:p w14:paraId="7D02270F" w14:textId="77777777" w:rsidR="00650DD6" w:rsidRPr="00650DD6" w:rsidRDefault="00650DD6" w:rsidP="00650DD6">
      <w:pPr>
        <w:numPr>
          <w:ilvl w:val="1"/>
          <w:numId w:val="4"/>
        </w:numPr>
      </w:pPr>
      <w:r w:rsidRPr="00650DD6">
        <w:t xml:space="preserve">Students consume energy drinks primarily during </w:t>
      </w:r>
      <w:proofErr w:type="gramStart"/>
      <w:r w:rsidRPr="00650DD6">
        <w:t>studies</w:t>
      </w:r>
      <w:proofErr w:type="gramEnd"/>
      <w:r w:rsidRPr="00650DD6">
        <w:t>.</w:t>
      </w:r>
    </w:p>
    <w:p w14:paraId="56A16302" w14:textId="77777777" w:rsidR="00650DD6" w:rsidRPr="00650DD6" w:rsidRDefault="00650DD6" w:rsidP="00650DD6">
      <w:pPr>
        <w:numPr>
          <w:ilvl w:val="1"/>
          <w:numId w:val="4"/>
        </w:numPr>
      </w:pPr>
      <w:r w:rsidRPr="00650DD6">
        <w:t>Working professionals use them for productivity and long hours.</w:t>
      </w:r>
    </w:p>
    <w:p w14:paraId="0860279C" w14:textId="77777777" w:rsidR="00650DD6" w:rsidRPr="00650DD6" w:rsidRDefault="00650DD6" w:rsidP="00650DD6">
      <w:pPr>
        <w:rPr>
          <w:b/>
          <w:bCs/>
        </w:rPr>
      </w:pPr>
      <w:r w:rsidRPr="00650DD6">
        <w:rPr>
          <w:b/>
          <w:bCs/>
        </w:rPr>
        <w:t>2.4 Brand Perception</w:t>
      </w:r>
    </w:p>
    <w:p w14:paraId="6BDC4404" w14:textId="77777777" w:rsidR="00650DD6" w:rsidRPr="00650DD6" w:rsidRDefault="00650DD6" w:rsidP="00650DD6">
      <w:pPr>
        <w:numPr>
          <w:ilvl w:val="0"/>
          <w:numId w:val="5"/>
        </w:numPr>
      </w:pPr>
      <w:r w:rsidRPr="00650DD6">
        <w:rPr>
          <w:b/>
          <w:bCs/>
        </w:rPr>
        <w:t>Factors Influencing Loyalty:</w:t>
      </w:r>
      <w:r w:rsidRPr="00650DD6">
        <w:t xml:space="preserve"> </w:t>
      </w:r>
    </w:p>
    <w:p w14:paraId="7C2A3E11" w14:textId="77777777" w:rsidR="00650DD6" w:rsidRPr="00650DD6" w:rsidRDefault="00650DD6" w:rsidP="00650DD6">
      <w:pPr>
        <w:numPr>
          <w:ilvl w:val="1"/>
          <w:numId w:val="5"/>
        </w:numPr>
      </w:pPr>
      <w:r w:rsidRPr="00650DD6">
        <w:t>Taste (87.8% for Red Bull, 92.9% for Monster).</w:t>
      </w:r>
    </w:p>
    <w:p w14:paraId="7B9C12AD" w14:textId="77777777" w:rsidR="00650DD6" w:rsidRPr="00650DD6" w:rsidRDefault="00650DD6" w:rsidP="00650DD6">
      <w:pPr>
        <w:numPr>
          <w:ilvl w:val="1"/>
          <w:numId w:val="5"/>
        </w:numPr>
      </w:pPr>
      <w:r w:rsidRPr="00650DD6">
        <w:t>Brand reputation (95.6% for Red Bull, 85.4% for Power Horse).</w:t>
      </w:r>
    </w:p>
    <w:p w14:paraId="2D856478" w14:textId="77777777" w:rsidR="00650DD6" w:rsidRPr="00650DD6" w:rsidRDefault="00650DD6" w:rsidP="00650DD6">
      <w:pPr>
        <w:numPr>
          <w:ilvl w:val="1"/>
          <w:numId w:val="5"/>
        </w:numPr>
      </w:pPr>
      <w:r w:rsidRPr="00650DD6">
        <w:t>Health benefits (61.5% for Tiger).</w:t>
      </w:r>
    </w:p>
    <w:p w14:paraId="716C1F8A" w14:textId="77777777" w:rsidR="00650DD6" w:rsidRPr="00650DD6" w:rsidRDefault="00650DD6" w:rsidP="00650DD6">
      <w:pPr>
        <w:numPr>
          <w:ilvl w:val="0"/>
          <w:numId w:val="5"/>
        </w:numPr>
      </w:pPr>
      <w:r w:rsidRPr="00650DD6">
        <w:rPr>
          <w:b/>
          <w:bCs/>
        </w:rPr>
        <w:t>Brand Familiarity:</w:t>
      </w:r>
      <w:r w:rsidRPr="00650DD6">
        <w:t xml:space="preserve"> </w:t>
      </w:r>
    </w:p>
    <w:p w14:paraId="5C02EA11" w14:textId="77777777" w:rsidR="00650DD6" w:rsidRPr="00650DD6" w:rsidRDefault="00650DD6" w:rsidP="00650DD6">
      <w:pPr>
        <w:numPr>
          <w:ilvl w:val="1"/>
          <w:numId w:val="5"/>
        </w:numPr>
      </w:pPr>
      <w:r w:rsidRPr="00650DD6">
        <w:t>Red Bull is the most familiar brand, followed by Monster and Power Horse.</w:t>
      </w:r>
    </w:p>
    <w:p w14:paraId="76DA6E9B" w14:textId="77777777" w:rsidR="00650DD6" w:rsidRPr="00650DD6" w:rsidRDefault="00650DD6" w:rsidP="00650DD6">
      <w:pPr>
        <w:numPr>
          <w:ilvl w:val="1"/>
          <w:numId w:val="5"/>
        </w:numPr>
      </w:pPr>
      <w:r w:rsidRPr="00650DD6">
        <w:t>Rural respondents show less familiarity with brands but value availability and trustworthiness.</w:t>
      </w:r>
    </w:p>
    <w:p w14:paraId="34D227BF" w14:textId="77777777" w:rsidR="00650DD6" w:rsidRPr="00650DD6" w:rsidRDefault="00650DD6" w:rsidP="00650DD6">
      <w:pPr>
        <w:numPr>
          <w:ilvl w:val="0"/>
          <w:numId w:val="5"/>
        </w:numPr>
      </w:pPr>
      <w:r w:rsidRPr="00650DD6">
        <w:rPr>
          <w:b/>
          <w:bCs/>
        </w:rPr>
        <w:t>Target Segments:</w:t>
      </w:r>
      <w:r w:rsidRPr="00650DD6">
        <w:t xml:space="preserve"> </w:t>
      </w:r>
    </w:p>
    <w:p w14:paraId="7D4B928A" w14:textId="77777777" w:rsidR="00650DD6" w:rsidRPr="00650DD6" w:rsidRDefault="00650DD6" w:rsidP="00650DD6">
      <w:pPr>
        <w:numPr>
          <w:ilvl w:val="1"/>
          <w:numId w:val="5"/>
        </w:numPr>
      </w:pPr>
      <w:r w:rsidRPr="00650DD6">
        <w:t>High-income urban professionals value premium offerings and health benefits.</w:t>
      </w:r>
    </w:p>
    <w:p w14:paraId="5741B543" w14:textId="77777777" w:rsidR="00650DD6" w:rsidRPr="00650DD6" w:rsidRDefault="00650DD6" w:rsidP="00650DD6">
      <w:pPr>
        <w:numPr>
          <w:ilvl w:val="1"/>
          <w:numId w:val="5"/>
        </w:numPr>
      </w:pPr>
      <w:r w:rsidRPr="00650DD6">
        <w:t>Budget-conscious students prioritize affordability and productivity-enhancing flavors.</w:t>
      </w:r>
    </w:p>
    <w:p w14:paraId="0ED3B25F" w14:textId="77777777" w:rsidR="00650DD6" w:rsidRPr="00650DD6" w:rsidRDefault="00650DD6" w:rsidP="00650DD6">
      <w:pPr>
        <w:rPr>
          <w:b/>
          <w:bCs/>
        </w:rPr>
      </w:pPr>
      <w:r w:rsidRPr="00650DD6">
        <w:rPr>
          <w:b/>
          <w:bCs/>
        </w:rPr>
        <w:t>2.5 Packaging Preferences</w:t>
      </w:r>
    </w:p>
    <w:p w14:paraId="6A6E909F" w14:textId="77777777" w:rsidR="00650DD6" w:rsidRPr="00650DD6" w:rsidRDefault="00650DD6" w:rsidP="00650DD6">
      <w:pPr>
        <w:numPr>
          <w:ilvl w:val="0"/>
          <w:numId w:val="6"/>
        </w:numPr>
      </w:pPr>
      <w:r w:rsidRPr="00650DD6">
        <w:rPr>
          <w:b/>
          <w:bCs/>
        </w:rPr>
        <w:t>Preferred Type:</w:t>
      </w:r>
      <w:r w:rsidRPr="00650DD6">
        <w:t xml:space="preserve"> Cans (69.9%), followed by plastic bottles (13.0%) and glass bottles (11.4%).</w:t>
      </w:r>
    </w:p>
    <w:p w14:paraId="2EAF00C0" w14:textId="77777777" w:rsidR="00650DD6" w:rsidRPr="00650DD6" w:rsidRDefault="00650DD6" w:rsidP="00650DD6">
      <w:pPr>
        <w:numPr>
          <w:ilvl w:val="0"/>
          <w:numId w:val="6"/>
        </w:numPr>
      </w:pPr>
      <w:r w:rsidRPr="00650DD6">
        <w:rPr>
          <w:b/>
          <w:bCs/>
        </w:rPr>
        <w:t>Eco-Friendly Importance:</w:t>
      </w:r>
      <w:r w:rsidRPr="00650DD6">
        <w:t xml:space="preserve"> Significant correlation between eco-friendly packaging importance and willingness to try new brands (ρ = 0.084, p = 0.107).</w:t>
      </w:r>
    </w:p>
    <w:p w14:paraId="0ABC8930" w14:textId="77777777" w:rsidR="00650DD6" w:rsidRPr="00650DD6" w:rsidRDefault="00650DD6" w:rsidP="00650DD6">
      <w:pPr>
        <w:numPr>
          <w:ilvl w:val="0"/>
          <w:numId w:val="6"/>
        </w:numPr>
      </w:pPr>
      <w:r w:rsidRPr="00650DD6">
        <w:rPr>
          <w:b/>
          <w:bCs/>
        </w:rPr>
        <w:t>Demographic Differences:</w:t>
      </w:r>
      <w:r w:rsidRPr="00650DD6">
        <w:t xml:space="preserve"> </w:t>
      </w:r>
    </w:p>
    <w:p w14:paraId="7DE7BC31" w14:textId="77777777" w:rsidR="00650DD6" w:rsidRPr="00650DD6" w:rsidRDefault="00650DD6" w:rsidP="00650DD6">
      <w:pPr>
        <w:numPr>
          <w:ilvl w:val="1"/>
          <w:numId w:val="6"/>
        </w:numPr>
      </w:pPr>
      <w:r w:rsidRPr="00650DD6">
        <w:lastRenderedPageBreak/>
        <w:t>Younger age groups (18–24) strongly prefer cans.</w:t>
      </w:r>
    </w:p>
    <w:p w14:paraId="3E2BA820" w14:textId="77777777" w:rsidR="00650DD6" w:rsidRPr="00650DD6" w:rsidRDefault="00650DD6" w:rsidP="00650DD6">
      <w:pPr>
        <w:numPr>
          <w:ilvl w:val="1"/>
          <w:numId w:val="6"/>
        </w:numPr>
      </w:pPr>
      <w:r w:rsidRPr="00650DD6">
        <w:t>Older groups (45+) show a preference for glass bottles and alternative packaging.</w:t>
      </w:r>
    </w:p>
    <w:p w14:paraId="2BDDA513" w14:textId="77777777" w:rsidR="00650DD6" w:rsidRPr="00650DD6" w:rsidRDefault="00650DD6" w:rsidP="00650DD6">
      <w:r w:rsidRPr="00650DD6">
        <w:pict w14:anchorId="5E57C605">
          <v:rect id="_x0000_i1127" style="width:0;height:1.5pt" o:hralign="center" o:hrstd="t" o:hr="t" fillcolor="#a0a0a0" stroked="f"/>
        </w:pict>
      </w:r>
    </w:p>
    <w:p w14:paraId="71128E62" w14:textId="77777777" w:rsidR="00650DD6" w:rsidRPr="00650DD6" w:rsidRDefault="00650DD6" w:rsidP="00650DD6">
      <w:pPr>
        <w:rPr>
          <w:b/>
          <w:bCs/>
        </w:rPr>
      </w:pPr>
      <w:r w:rsidRPr="00650DD6">
        <w:rPr>
          <w:b/>
          <w:bCs/>
        </w:rPr>
        <w:t>3. Analysis of Results</w:t>
      </w:r>
    </w:p>
    <w:p w14:paraId="6FED468D" w14:textId="77777777" w:rsidR="00650DD6" w:rsidRPr="00650DD6" w:rsidRDefault="00650DD6" w:rsidP="00650DD6">
      <w:pPr>
        <w:rPr>
          <w:b/>
          <w:bCs/>
        </w:rPr>
      </w:pPr>
      <w:r w:rsidRPr="00650DD6">
        <w:rPr>
          <w:b/>
          <w:bCs/>
        </w:rPr>
        <w:t>3.1 Flavor Preferences</w:t>
      </w:r>
    </w:p>
    <w:p w14:paraId="7CB88049" w14:textId="77777777" w:rsidR="00650DD6" w:rsidRPr="00650DD6" w:rsidRDefault="00650DD6" w:rsidP="00650DD6">
      <w:r w:rsidRPr="00650DD6">
        <w:t>Flavor preferences vary significantly across demographics:</w:t>
      </w:r>
    </w:p>
    <w:p w14:paraId="4D1E7478" w14:textId="77777777" w:rsidR="00650DD6" w:rsidRPr="00650DD6" w:rsidRDefault="00650DD6" w:rsidP="00650DD6">
      <w:pPr>
        <w:numPr>
          <w:ilvl w:val="0"/>
          <w:numId w:val="7"/>
        </w:numPr>
      </w:pPr>
      <w:r w:rsidRPr="00650DD6">
        <w:rPr>
          <w:b/>
          <w:bCs/>
        </w:rPr>
        <w:t>Students (18–24):</w:t>
      </w:r>
      <w:r w:rsidRPr="00650DD6">
        <w:t xml:space="preserve"> Citrus and Berry flavors resonate most.</w:t>
      </w:r>
    </w:p>
    <w:p w14:paraId="2466F47D" w14:textId="77777777" w:rsidR="00650DD6" w:rsidRPr="00650DD6" w:rsidRDefault="00650DD6" w:rsidP="00650DD6">
      <w:pPr>
        <w:numPr>
          <w:ilvl w:val="0"/>
          <w:numId w:val="7"/>
        </w:numPr>
      </w:pPr>
      <w:r w:rsidRPr="00650DD6">
        <w:rPr>
          <w:b/>
          <w:bCs/>
        </w:rPr>
        <w:t>Working Professionals (25–34):</w:t>
      </w:r>
      <w:r w:rsidRPr="00650DD6">
        <w:t xml:space="preserve"> Tropical and Mint flavors are favored.</w:t>
      </w:r>
    </w:p>
    <w:p w14:paraId="1CBE3189" w14:textId="77777777" w:rsidR="00650DD6" w:rsidRPr="00650DD6" w:rsidRDefault="00650DD6" w:rsidP="00650DD6">
      <w:pPr>
        <w:numPr>
          <w:ilvl w:val="0"/>
          <w:numId w:val="7"/>
        </w:numPr>
      </w:pPr>
      <w:r w:rsidRPr="00650DD6">
        <w:rPr>
          <w:b/>
          <w:bCs/>
        </w:rPr>
        <w:t>Fitness Enthusiasts:</w:t>
      </w:r>
      <w:r w:rsidRPr="00650DD6">
        <w:t xml:space="preserve"> Prioritize natural ingredients and low sugar content, aligning with Citrus and Berry flavors.</w:t>
      </w:r>
    </w:p>
    <w:p w14:paraId="477F0B3E" w14:textId="77777777" w:rsidR="00650DD6" w:rsidRPr="00650DD6" w:rsidRDefault="00650DD6" w:rsidP="00650DD6">
      <w:pPr>
        <w:rPr>
          <w:b/>
          <w:bCs/>
        </w:rPr>
      </w:pPr>
      <w:r w:rsidRPr="00650DD6">
        <w:rPr>
          <w:b/>
          <w:bCs/>
        </w:rPr>
        <w:t>3.2 Pricing Strategy</w:t>
      </w:r>
    </w:p>
    <w:p w14:paraId="6FDF2562" w14:textId="77777777" w:rsidR="00650DD6" w:rsidRPr="00650DD6" w:rsidRDefault="00650DD6" w:rsidP="00650DD6">
      <w:proofErr w:type="gramStart"/>
      <w:r w:rsidRPr="00650DD6">
        <w:t>The majority of</w:t>
      </w:r>
      <w:proofErr w:type="gramEnd"/>
      <w:r w:rsidRPr="00650DD6">
        <w:t xml:space="preserve"> respondents are willing to pay premium prices, indicating potential for high-margin sales:</w:t>
      </w:r>
    </w:p>
    <w:p w14:paraId="5EAA14F7" w14:textId="77777777" w:rsidR="00650DD6" w:rsidRPr="00650DD6" w:rsidRDefault="00650DD6" w:rsidP="00650DD6">
      <w:pPr>
        <w:numPr>
          <w:ilvl w:val="0"/>
          <w:numId w:val="8"/>
        </w:numPr>
      </w:pPr>
      <w:r w:rsidRPr="00650DD6">
        <w:rPr>
          <w:b/>
          <w:bCs/>
        </w:rPr>
        <w:t>Premium Segment:</w:t>
      </w:r>
      <w:r w:rsidRPr="00650DD6">
        <w:t xml:space="preserve"> Focus on higher-income urban professionals with unique flavors and eco-friendly packaging.</w:t>
      </w:r>
    </w:p>
    <w:p w14:paraId="3DF32504" w14:textId="77777777" w:rsidR="00650DD6" w:rsidRPr="00650DD6" w:rsidRDefault="00650DD6" w:rsidP="00650DD6">
      <w:pPr>
        <w:numPr>
          <w:ilvl w:val="0"/>
          <w:numId w:val="8"/>
        </w:numPr>
      </w:pPr>
      <w:r w:rsidRPr="00650DD6">
        <w:rPr>
          <w:b/>
          <w:bCs/>
        </w:rPr>
        <w:t>Affordable Segment:</w:t>
      </w:r>
      <w:r w:rsidRPr="00650DD6">
        <w:t xml:space="preserve"> Offer budget-friendly options to attract students and rural consumers.</w:t>
      </w:r>
    </w:p>
    <w:p w14:paraId="33DFE9C3" w14:textId="77777777" w:rsidR="00650DD6" w:rsidRPr="00650DD6" w:rsidRDefault="00650DD6" w:rsidP="00650DD6">
      <w:pPr>
        <w:rPr>
          <w:b/>
          <w:bCs/>
        </w:rPr>
      </w:pPr>
      <w:r w:rsidRPr="00650DD6">
        <w:rPr>
          <w:b/>
          <w:bCs/>
        </w:rPr>
        <w:t>3.3 Consumption Habits</w:t>
      </w:r>
    </w:p>
    <w:p w14:paraId="3017B97A" w14:textId="77777777" w:rsidR="00650DD6" w:rsidRPr="00650DD6" w:rsidRDefault="00650DD6" w:rsidP="00650DD6">
      <w:r w:rsidRPr="00650DD6">
        <w:t>Consumption frequency and occasions provide clear segmentation opportunities:</w:t>
      </w:r>
    </w:p>
    <w:p w14:paraId="19335CC8" w14:textId="77777777" w:rsidR="00650DD6" w:rsidRPr="00650DD6" w:rsidRDefault="00650DD6" w:rsidP="00650DD6">
      <w:pPr>
        <w:numPr>
          <w:ilvl w:val="0"/>
          <w:numId w:val="9"/>
        </w:numPr>
      </w:pPr>
      <w:r w:rsidRPr="00650DD6">
        <w:rPr>
          <w:b/>
          <w:bCs/>
        </w:rPr>
        <w:t>Frequent Users:</w:t>
      </w:r>
      <w:r w:rsidRPr="00650DD6">
        <w:t xml:space="preserve"> Emphasize convenience and productivity with canned options.</w:t>
      </w:r>
    </w:p>
    <w:p w14:paraId="627B27DD" w14:textId="77777777" w:rsidR="00650DD6" w:rsidRPr="00650DD6" w:rsidRDefault="00650DD6" w:rsidP="00650DD6">
      <w:pPr>
        <w:numPr>
          <w:ilvl w:val="0"/>
          <w:numId w:val="9"/>
        </w:numPr>
      </w:pPr>
      <w:r w:rsidRPr="00650DD6">
        <w:rPr>
          <w:b/>
          <w:bCs/>
        </w:rPr>
        <w:t>Occasional Users:</w:t>
      </w:r>
      <w:r w:rsidRPr="00650DD6">
        <w:t xml:space="preserve"> Highlight health benefits and affordability for social settings or fitness-related consumption.</w:t>
      </w:r>
    </w:p>
    <w:p w14:paraId="29B546DE" w14:textId="77777777" w:rsidR="00650DD6" w:rsidRPr="00650DD6" w:rsidRDefault="00650DD6" w:rsidP="00650DD6">
      <w:pPr>
        <w:rPr>
          <w:b/>
          <w:bCs/>
        </w:rPr>
      </w:pPr>
      <w:r w:rsidRPr="00650DD6">
        <w:rPr>
          <w:b/>
          <w:bCs/>
        </w:rPr>
        <w:t>3.4 Brand Perception</w:t>
      </w:r>
    </w:p>
    <w:p w14:paraId="2A6C769C" w14:textId="77777777" w:rsidR="00650DD6" w:rsidRPr="00650DD6" w:rsidRDefault="00650DD6" w:rsidP="00650DD6">
      <w:r w:rsidRPr="00650DD6">
        <w:t>To compete effectively, NutriBev must build trust and emphasize quality:</w:t>
      </w:r>
    </w:p>
    <w:p w14:paraId="1E0F0ED9" w14:textId="77777777" w:rsidR="00650DD6" w:rsidRPr="00650DD6" w:rsidRDefault="00650DD6" w:rsidP="00650DD6">
      <w:pPr>
        <w:numPr>
          <w:ilvl w:val="0"/>
          <w:numId w:val="10"/>
        </w:numPr>
      </w:pPr>
      <w:r w:rsidRPr="00650DD6">
        <w:rPr>
          <w:b/>
          <w:bCs/>
        </w:rPr>
        <w:t>Taste:</w:t>
      </w:r>
      <w:r w:rsidRPr="00650DD6">
        <w:t xml:space="preserve"> The primary driver of brand loyalty across all competitors.</w:t>
      </w:r>
    </w:p>
    <w:p w14:paraId="42B95BF2" w14:textId="77777777" w:rsidR="00650DD6" w:rsidRPr="00650DD6" w:rsidRDefault="00650DD6" w:rsidP="00650DD6">
      <w:pPr>
        <w:numPr>
          <w:ilvl w:val="0"/>
          <w:numId w:val="10"/>
        </w:numPr>
      </w:pPr>
      <w:r w:rsidRPr="00650DD6">
        <w:rPr>
          <w:b/>
          <w:bCs/>
        </w:rPr>
        <w:t>Health Benefits:</w:t>
      </w:r>
      <w:r w:rsidRPr="00650DD6">
        <w:t xml:space="preserve"> Differentiate by promoting natural ingredients and low sugar content.</w:t>
      </w:r>
    </w:p>
    <w:p w14:paraId="5C0926D5" w14:textId="77777777" w:rsidR="00650DD6" w:rsidRPr="00650DD6" w:rsidRDefault="00650DD6" w:rsidP="00650DD6">
      <w:pPr>
        <w:numPr>
          <w:ilvl w:val="0"/>
          <w:numId w:val="10"/>
        </w:numPr>
      </w:pPr>
      <w:r w:rsidRPr="00650DD6">
        <w:rPr>
          <w:b/>
          <w:bCs/>
        </w:rPr>
        <w:lastRenderedPageBreak/>
        <w:t>Availability:</w:t>
      </w:r>
      <w:r w:rsidRPr="00650DD6">
        <w:t xml:space="preserve"> Ensure wide distribution in urban areas where competition is highest.</w:t>
      </w:r>
    </w:p>
    <w:p w14:paraId="6623A400" w14:textId="77777777" w:rsidR="00650DD6" w:rsidRPr="00650DD6" w:rsidRDefault="00650DD6" w:rsidP="00650DD6">
      <w:pPr>
        <w:rPr>
          <w:b/>
          <w:bCs/>
        </w:rPr>
      </w:pPr>
      <w:r w:rsidRPr="00650DD6">
        <w:rPr>
          <w:b/>
          <w:bCs/>
        </w:rPr>
        <w:t>3.5 Packaging Preferences</w:t>
      </w:r>
    </w:p>
    <w:p w14:paraId="0057800D" w14:textId="77777777" w:rsidR="00650DD6" w:rsidRPr="00650DD6" w:rsidRDefault="00650DD6" w:rsidP="00650DD6">
      <w:r w:rsidRPr="00650DD6">
        <w:t>Packaging plays a critical role in consumer choice:</w:t>
      </w:r>
    </w:p>
    <w:p w14:paraId="37D8235A" w14:textId="77777777" w:rsidR="00650DD6" w:rsidRPr="00650DD6" w:rsidRDefault="00650DD6" w:rsidP="00650DD6">
      <w:pPr>
        <w:numPr>
          <w:ilvl w:val="0"/>
          <w:numId w:val="11"/>
        </w:numPr>
      </w:pPr>
      <w:r w:rsidRPr="00650DD6">
        <w:rPr>
          <w:b/>
          <w:bCs/>
        </w:rPr>
        <w:t>Cans:</w:t>
      </w:r>
      <w:r w:rsidRPr="00650DD6">
        <w:t xml:space="preserve"> Dominant preference due to convenience and portability.</w:t>
      </w:r>
    </w:p>
    <w:p w14:paraId="79D1091D" w14:textId="77777777" w:rsidR="00650DD6" w:rsidRPr="00650DD6" w:rsidRDefault="00650DD6" w:rsidP="00650DD6">
      <w:pPr>
        <w:numPr>
          <w:ilvl w:val="0"/>
          <w:numId w:val="11"/>
        </w:numPr>
      </w:pPr>
      <w:r w:rsidRPr="00650DD6">
        <w:rPr>
          <w:b/>
          <w:bCs/>
        </w:rPr>
        <w:t>Eco-Friendly Options:</w:t>
      </w:r>
      <w:r w:rsidRPr="00650DD6">
        <w:t xml:space="preserve"> Appeal to environmentally conscious consumers, though they may not directly influence willingness to pay.</w:t>
      </w:r>
    </w:p>
    <w:p w14:paraId="63578875" w14:textId="77777777" w:rsidR="00650DD6" w:rsidRPr="00650DD6" w:rsidRDefault="00650DD6" w:rsidP="00650DD6">
      <w:r w:rsidRPr="00650DD6">
        <w:pict w14:anchorId="6854A2A1">
          <v:rect id="_x0000_i1128" style="width:0;height:1.5pt" o:hralign="center" o:hrstd="t" o:hr="t" fillcolor="#a0a0a0" stroked="f"/>
        </w:pict>
      </w:r>
    </w:p>
    <w:p w14:paraId="301AD223" w14:textId="77777777" w:rsidR="00650DD6" w:rsidRPr="00650DD6" w:rsidRDefault="00650DD6" w:rsidP="00650DD6">
      <w:pPr>
        <w:rPr>
          <w:b/>
          <w:bCs/>
        </w:rPr>
      </w:pPr>
      <w:r w:rsidRPr="00650DD6">
        <w:rPr>
          <w:b/>
          <w:bCs/>
        </w:rPr>
        <w:t>4. Segmentation Strategy</w:t>
      </w:r>
    </w:p>
    <w:p w14:paraId="0FFC5632" w14:textId="77777777" w:rsidR="00650DD6" w:rsidRPr="00650DD6" w:rsidRDefault="00650DD6" w:rsidP="00650DD6">
      <w:r w:rsidRPr="00650DD6">
        <w:t>Based on the findings, we propose the following segmentation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97"/>
        <w:gridCol w:w="3535"/>
        <w:gridCol w:w="3728"/>
      </w:tblGrid>
      <w:tr w:rsidR="00650DD6" w:rsidRPr="00650DD6" w14:paraId="5C1D16D1" w14:textId="77777777" w:rsidTr="00650DD6">
        <w:trPr>
          <w:tblHeader/>
          <w:tblCellSpacing w:w="15" w:type="dxa"/>
        </w:trPr>
        <w:tc>
          <w:tcPr>
            <w:tcW w:w="0" w:type="auto"/>
            <w:vAlign w:val="center"/>
            <w:hideMark/>
          </w:tcPr>
          <w:p w14:paraId="5E836898" w14:textId="77777777" w:rsidR="00650DD6" w:rsidRPr="00650DD6" w:rsidRDefault="00650DD6" w:rsidP="00650DD6">
            <w:pPr>
              <w:rPr>
                <w:b/>
                <w:bCs/>
              </w:rPr>
            </w:pPr>
            <w:r w:rsidRPr="00650DD6">
              <w:rPr>
                <w:b/>
                <w:bCs/>
              </w:rPr>
              <w:t>Segment Name</w:t>
            </w:r>
          </w:p>
        </w:tc>
        <w:tc>
          <w:tcPr>
            <w:tcW w:w="0" w:type="auto"/>
            <w:vAlign w:val="center"/>
            <w:hideMark/>
          </w:tcPr>
          <w:p w14:paraId="72508467" w14:textId="77777777" w:rsidR="00650DD6" w:rsidRPr="00650DD6" w:rsidRDefault="00650DD6" w:rsidP="00650DD6">
            <w:pPr>
              <w:rPr>
                <w:b/>
                <w:bCs/>
              </w:rPr>
            </w:pPr>
            <w:r w:rsidRPr="00650DD6">
              <w:rPr>
                <w:b/>
                <w:bCs/>
              </w:rPr>
              <w:t>Key Characteristics</w:t>
            </w:r>
          </w:p>
        </w:tc>
        <w:tc>
          <w:tcPr>
            <w:tcW w:w="0" w:type="auto"/>
            <w:vAlign w:val="center"/>
            <w:hideMark/>
          </w:tcPr>
          <w:p w14:paraId="15F466EC" w14:textId="77777777" w:rsidR="00650DD6" w:rsidRPr="00650DD6" w:rsidRDefault="00650DD6" w:rsidP="00650DD6">
            <w:pPr>
              <w:rPr>
                <w:b/>
                <w:bCs/>
              </w:rPr>
            </w:pPr>
            <w:r w:rsidRPr="00650DD6">
              <w:rPr>
                <w:b/>
                <w:bCs/>
              </w:rPr>
              <w:t>Marketing Strategy</w:t>
            </w:r>
          </w:p>
        </w:tc>
      </w:tr>
      <w:tr w:rsidR="00650DD6" w:rsidRPr="00650DD6" w14:paraId="370B4A75" w14:textId="77777777" w:rsidTr="00650DD6">
        <w:trPr>
          <w:tblCellSpacing w:w="15" w:type="dxa"/>
        </w:trPr>
        <w:tc>
          <w:tcPr>
            <w:tcW w:w="0" w:type="auto"/>
            <w:vAlign w:val="center"/>
            <w:hideMark/>
          </w:tcPr>
          <w:p w14:paraId="63013AC6" w14:textId="77777777" w:rsidR="00650DD6" w:rsidRPr="00650DD6" w:rsidRDefault="00650DD6" w:rsidP="00650DD6">
            <w:r w:rsidRPr="00650DD6">
              <w:rPr>
                <w:b/>
                <w:bCs/>
              </w:rPr>
              <w:t>High-Income Urban Pros</w:t>
            </w:r>
          </w:p>
        </w:tc>
        <w:tc>
          <w:tcPr>
            <w:tcW w:w="0" w:type="auto"/>
            <w:vAlign w:val="center"/>
            <w:hideMark/>
          </w:tcPr>
          <w:p w14:paraId="41389885" w14:textId="77777777" w:rsidR="00650DD6" w:rsidRPr="00650DD6" w:rsidRDefault="00650DD6" w:rsidP="00650DD6">
            <w:r w:rsidRPr="00650DD6">
              <w:t>Age: 25–34, Income: &gt;EGP 10,000, Preference: Tropical, Mint</w:t>
            </w:r>
          </w:p>
        </w:tc>
        <w:tc>
          <w:tcPr>
            <w:tcW w:w="0" w:type="auto"/>
            <w:vAlign w:val="center"/>
            <w:hideMark/>
          </w:tcPr>
          <w:p w14:paraId="333FF0F2" w14:textId="77777777" w:rsidR="00650DD6" w:rsidRPr="00650DD6" w:rsidRDefault="00650DD6" w:rsidP="00650DD6">
            <w:r w:rsidRPr="00650DD6">
              <w:t>Premium pricing, health-focused formulations, eco-friendly packaging, productivity messaging.</w:t>
            </w:r>
          </w:p>
        </w:tc>
      </w:tr>
      <w:tr w:rsidR="00650DD6" w:rsidRPr="00650DD6" w14:paraId="29D26C08" w14:textId="77777777" w:rsidTr="00650DD6">
        <w:trPr>
          <w:tblCellSpacing w:w="15" w:type="dxa"/>
        </w:trPr>
        <w:tc>
          <w:tcPr>
            <w:tcW w:w="0" w:type="auto"/>
            <w:vAlign w:val="center"/>
            <w:hideMark/>
          </w:tcPr>
          <w:p w14:paraId="47343C7A" w14:textId="77777777" w:rsidR="00650DD6" w:rsidRPr="00650DD6" w:rsidRDefault="00650DD6" w:rsidP="00650DD6">
            <w:r w:rsidRPr="00650DD6">
              <w:rPr>
                <w:b/>
                <w:bCs/>
              </w:rPr>
              <w:t>Young Urban Students</w:t>
            </w:r>
          </w:p>
        </w:tc>
        <w:tc>
          <w:tcPr>
            <w:tcW w:w="0" w:type="auto"/>
            <w:vAlign w:val="center"/>
            <w:hideMark/>
          </w:tcPr>
          <w:p w14:paraId="3A00E338" w14:textId="77777777" w:rsidR="00650DD6" w:rsidRPr="00650DD6" w:rsidRDefault="00650DD6" w:rsidP="00650DD6">
            <w:r w:rsidRPr="00650DD6">
              <w:t>Age: 18–24, Income: &lt;EGP 10,000, Preference: Citrus, Berry</w:t>
            </w:r>
          </w:p>
        </w:tc>
        <w:tc>
          <w:tcPr>
            <w:tcW w:w="0" w:type="auto"/>
            <w:vAlign w:val="center"/>
            <w:hideMark/>
          </w:tcPr>
          <w:p w14:paraId="4F19BF73" w14:textId="77777777" w:rsidR="00650DD6" w:rsidRPr="00650DD6" w:rsidRDefault="00650DD6" w:rsidP="00650DD6">
            <w:r w:rsidRPr="00650DD6">
              <w:t>Affordable pricing, productivity-enhancing flavors, digital and influencer marketing.</w:t>
            </w:r>
          </w:p>
        </w:tc>
      </w:tr>
      <w:tr w:rsidR="00650DD6" w:rsidRPr="00650DD6" w14:paraId="4CE303B3" w14:textId="77777777" w:rsidTr="00650DD6">
        <w:trPr>
          <w:tblCellSpacing w:w="15" w:type="dxa"/>
        </w:trPr>
        <w:tc>
          <w:tcPr>
            <w:tcW w:w="0" w:type="auto"/>
            <w:vAlign w:val="center"/>
            <w:hideMark/>
          </w:tcPr>
          <w:p w14:paraId="08872CCD" w14:textId="77777777" w:rsidR="00650DD6" w:rsidRPr="00650DD6" w:rsidRDefault="00650DD6" w:rsidP="00650DD6">
            <w:r w:rsidRPr="00650DD6">
              <w:rPr>
                <w:b/>
                <w:bCs/>
              </w:rPr>
              <w:t>Rural Occasional Users</w:t>
            </w:r>
          </w:p>
        </w:tc>
        <w:tc>
          <w:tcPr>
            <w:tcW w:w="0" w:type="auto"/>
            <w:vAlign w:val="center"/>
            <w:hideMark/>
          </w:tcPr>
          <w:p w14:paraId="44CE694C" w14:textId="77777777" w:rsidR="00650DD6" w:rsidRPr="00650DD6" w:rsidRDefault="00650DD6" w:rsidP="00650DD6">
            <w:r w:rsidRPr="00650DD6">
              <w:t>Age: 35+, Rural areas, Preference: Coffee, Classic flavors</w:t>
            </w:r>
          </w:p>
        </w:tc>
        <w:tc>
          <w:tcPr>
            <w:tcW w:w="0" w:type="auto"/>
            <w:vAlign w:val="center"/>
            <w:hideMark/>
          </w:tcPr>
          <w:p w14:paraId="3DAA649F" w14:textId="77777777" w:rsidR="00650DD6" w:rsidRPr="00650DD6" w:rsidRDefault="00650DD6" w:rsidP="00650DD6">
            <w:r w:rsidRPr="00650DD6">
              <w:t>Budget-friendly plastic bottles, local availability, traditional marketing channels.</w:t>
            </w:r>
          </w:p>
        </w:tc>
      </w:tr>
      <w:tr w:rsidR="00650DD6" w:rsidRPr="00650DD6" w14:paraId="652521C1" w14:textId="77777777" w:rsidTr="00650DD6">
        <w:trPr>
          <w:tblCellSpacing w:w="15" w:type="dxa"/>
        </w:trPr>
        <w:tc>
          <w:tcPr>
            <w:tcW w:w="0" w:type="auto"/>
            <w:vAlign w:val="center"/>
            <w:hideMark/>
          </w:tcPr>
          <w:p w14:paraId="3C11BEFF" w14:textId="77777777" w:rsidR="00650DD6" w:rsidRPr="00650DD6" w:rsidRDefault="00650DD6" w:rsidP="00650DD6">
            <w:r w:rsidRPr="00650DD6">
              <w:rPr>
                <w:b/>
                <w:bCs/>
              </w:rPr>
              <w:t>Fitness Enthusiasts</w:t>
            </w:r>
          </w:p>
        </w:tc>
        <w:tc>
          <w:tcPr>
            <w:tcW w:w="0" w:type="auto"/>
            <w:vAlign w:val="center"/>
            <w:hideMark/>
          </w:tcPr>
          <w:p w14:paraId="0FD915BB" w14:textId="77777777" w:rsidR="00650DD6" w:rsidRPr="00650DD6" w:rsidRDefault="00650DD6" w:rsidP="00650DD6">
            <w:r w:rsidRPr="00650DD6">
              <w:t>Age: 18–34, Exercise-focused, Preference: Natural, Low Sugar</w:t>
            </w:r>
          </w:p>
        </w:tc>
        <w:tc>
          <w:tcPr>
            <w:tcW w:w="0" w:type="auto"/>
            <w:vAlign w:val="center"/>
            <w:hideMark/>
          </w:tcPr>
          <w:p w14:paraId="1623594A" w14:textId="77777777" w:rsidR="00650DD6" w:rsidRPr="00650DD6" w:rsidRDefault="00650DD6" w:rsidP="00650DD6">
            <w:r w:rsidRPr="00650DD6">
              <w:t>Limited-edition sports-themed flavors, partnerships with gyms and fitness events.</w:t>
            </w:r>
          </w:p>
        </w:tc>
      </w:tr>
      <w:tr w:rsidR="00650DD6" w:rsidRPr="00650DD6" w14:paraId="30DBD89E" w14:textId="77777777" w:rsidTr="00650DD6">
        <w:trPr>
          <w:tblCellSpacing w:w="15" w:type="dxa"/>
        </w:trPr>
        <w:tc>
          <w:tcPr>
            <w:tcW w:w="0" w:type="auto"/>
            <w:vAlign w:val="center"/>
            <w:hideMark/>
          </w:tcPr>
          <w:p w14:paraId="5C8CD9F4" w14:textId="77777777" w:rsidR="00650DD6" w:rsidRPr="00650DD6" w:rsidRDefault="00650DD6" w:rsidP="00650DD6">
            <w:r w:rsidRPr="00650DD6">
              <w:rPr>
                <w:b/>
                <w:bCs/>
              </w:rPr>
              <w:t>Social Event Drinkers</w:t>
            </w:r>
          </w:p>
        </w:tc>
        <w:tc>
          <w:tcPr>
            <w:tcW w:w="0" w:type="auto"/>
            <w:vAlign w:val="center"/>
            <w:hideMark/>
          </w:tcPr>
          <w:p w14:paraId="2292549D" w14:textId="77777777" w:rsidR="00650DD6" w:rsidRPr="00650DD6" w:rsidRDefault="00650DD6" w:rsidP="00650DD6">
            <w:r w:rsidRPr="00650DD6">
              <w:t>Age: 18–34, Female-dominated, Preference: Berry, Tropical</w:t>
            </w:r>
          </w:p>
        </w:tc>
        <w:tc>
          <w:tcPr>
            <w:tcW w:w="0" w:type="auto"/>
            <w:vAlign w:val="center"/>
            <w:hideMark/>
          </w:tcPr>
          <w:p w14:paraId="62C4BEE2" w14:textId="77777777" w:rsidR="00650DD6" w:rsidRPr="00650DD6" w:rsidRDefault="00650DD6" w:rsidP="00650DD6">
            <w:r w:rsidRPr="00650DD6">
              <w:t>Stylish packaging, trendy flavors, influencer collaborations for nightlife promotion.</w:t>
            </w:r>
          </w:p>
        </w:tc>
      </w:tr>
      <w:tr w:rsidR="00650DD6" w:rsidRPr="00650DD6" w14:paraId="7374B6AF" w14:textId="77777777" w:rsidTr="00650DD6">
        <w:trPr>
          <w:tblCellSpacing w:w="15" w:type="dxa"/>
        </w:trPr>
        <w:tc>
          <w:tcPr>
            <w:tcW w:w="0" w:type="auto"/>
            <w:vAlign w:val="center"/>
            <w:hideMark/>
          </w:tcPr>
          <w:p w14:paraId="7D11EA2E" w14:textId="77777777" w:rsidR="00650DD6" w:rsidRPr="00650DD6" w:rsidRDefault="00650DD6" w:rsidP="00650DD6">
            <w:r w:rsidRPr="00650DD6">
              <w:rPr>
                <w:b/>
                <w:bCs/>
              </w:rPr>
              <w:t>Brand Experimenters</w:t>
            </w:r>
          </w:p>
        </w:tc>
        <w:tc>
          <w:tcPr>
            <w:tcW w:w="0" w:type="auto"/>
            <w:vAlign w:val="center"/>
            <w:hideMark/>
          </w:tcPr>
          <w:p w14:paraId="3351DD2C" w14:textId="77777777" w:rsidR="00650DD6" w:rsidRPr="00650DD6" w:rsidRDefault="00650DD6" w:rsidP="00650DD6">
            <w:r w:rsidRPr="00650DD6">
              <w:t>Age: 18–34, High likelihood to try new brands, Preference: Variety</w:t>
            </w:r>
          </w:p>
        </w:tc>
        <w:tc>
          <w:tcPr>
            <w:tcW w:w="0" w:type="auto"/>
            <w:vAlign w:val="center"/>
            <w:hideMark/>
          </w:tcPr>
          <w:p w14:paraId="669EC191" w14:textId="77777777" w:rsidR="00650DD6" w:rsidRPr="00650DD6" w:rsidRDefault="00650DD6" w:rsidP="00650DD6">
            <w:r w:rsidRPr="00650DD6">
              <w:t>Regular introduction of new flavors, sampling programs, loyalty rewards.</w:t>
            </w:r>
          </w:p>
        </w:tc>
      </w:tr>
      <w:tr w:rsidR="00650DD6" w:rsidRPr="00650DD6" w14:paraId="6025CDD0" w14:textId="77777777" w:rsidTr="00650DD6">
        <w:trPr>
          <w:tblCellSpacing w:w="15" w:type="dxa"/>
        </w:trPr>
        <w:tc>
          <w:tcPr>
            <w:tcW w:w="0" w:type="auto"/>
            <w:vAlign w:val="center"/>
            <w:hideMark/>
          </w:tcPr>
          <w:p w14:paraId="5F913DB3" w14:textId="77777777" w:rsidR="00650DD6" w:rsidRPr="00650DD6" w:rsidRDefault="00650DD6" w:rsidP="00650DD6">
            <w:r w:rsidRPr="00650DD6">
              <w:rPr>
                <w:b/>
                <w:bCs/>
              </w:rPr>
              <w:lastRenderedPageBreak/>
              <w:t>Budget-Conscious Non-Users</w:t>
            </w:r>
          </w:p>
        </w:tc>
        <w:tc>
          <w:tcPr>
            <w:tcW w:w="0" w:type="auto"/>
            <w:vAlign w:val="center"/>
            <w:hideMark/>
          </w:tcPr>
          <w:p w14:paraId="61F8EC0B" w14:textId="77777777" w:rsidR="00650DD6" w:rsidRPr="00650DD6" w:rsidRDefault="00650DD6" w:rsidP="00650DD6">
            <w:r w:rsidRPr="00650DD6">
              <w:t>Age: 18–44, Rarely consume energy drinks, Preference: Classic flavors, Affordability</w:t>
            </w:r>
          </w:p>
        </w:tc>
        <w:tc>
          <w:tcPr>
            <w:tcW w:w="0" w:type="auto"/>
            <w:vAlign w:val="center"/>
            <w:hideMark/>
          </w:tcPr>
          <w:p w14:paraId="2584510B" w14:textId="77777777" w:rsidR="00650DD6" w:rsidRPr="00650DD6" w:rsidRDefault="00650DD6" w:rsidP="00650DD6">
            <w:r w:rsidRPr="00650DD6">
              <w:t>Entry-level products, educational campaigns, discounts and promotions.</w:t>
            </w:r>
          </w:p>
        </w:tc>
      </w:tr>
    </w:tbl>
    <w:p w14:paraId="255594F5" w14:textId="77777777" w:rsidR="00650DD6" w:rsidRPr="00650DD6" w:rsidRDefault="00650DD6" w:rsidP="00650DD6">
      <w:r w:rsidRPr="00650DD6">
        <w:pict w14:anchorId="11EFDB26">
          <v:rect id="_x0000_i1129" style="width:0;height:1.5pt" o:hralign="center" o:hrstd="t" o:hr="t" fillcolor="#a0a0a0" stroked="f"/>
        </w:pict>
      </w:r>
    </w:p>
    <w:p w14:paraId="5F404029" w14:textId="77777777" w:rsidR="00650DD6" w:rsidRPr="00650DD6" w:rsidRDefault="00650DD6" w:rsidP="00650DD6">
      <w:pPr>
        <w:rPr>
          <w:b/>
          <w:bCs/>
        </w:rPr>
      </w:pPr>
      <w:r w:rsidRPr="00650DD6">
        <w:rPr>
          <w:b/>
          <w:bCs/>
        </w:rPr>
        <w:t>5. Recommendations</w:t>
      </w:r>
    </w:p>
    <w:p w14:paraId="3EEA57D6" w14:textId="77777777" w:rsidR="00650DD6" w:rsidRPr="00650DD6" w:rsidRDefault="00650DD6" w:rsidP="00650DD6">
      <w:pPr>
        <w:rPr>
          <w:b/>
          <w:bCs/>
        </w:rPr>
      </w:pPr>
      <w:r w:rsidRPr="00650DD6">
        <w:rPr>
          <w:b/>
          <w:bCs/>
        </w:rPr>
        <w:t>5.1 Product Development</w:t>
      </w:r>
    </w:p>
    <w:p w14:paraId="3F3878A5" w14:textId="77777777" w:rsidR="00650DD6" w:rsidRPr="00650DD6" w:rsidRDefault="00650DD6" w:rsidP="00650DD6">
      <w:pPr>
        <w:numPr>
          <w:ilvl w:val="0"/>
          <w:numId w:val="12"/>
        </w:numPr>
      </w:pPr>
      <w:r w:rsidRPr="00650DD6">
        <w:t xml:space="preserve">Develop </w:t>
      </w:r>
      <w:r w:rsidRPr="00650DD6">
        <w:rPr>
          <w:b/>
          <w:bCs/>
        </w:rPr>
        <w:t>Citrus, Berry, and Tropical flavors</w:t>
      </w:r>
      <w:r w:rsidRPr="00650DD6">
        <w:t xml:space="preserve"> as core offerings.</w:t>
      </w:r>
    </w:p>
    <w:p w14:paraId="74792BDA" w14:textId="77777777" w:rsidR="00650DD6" w:rsidRPr="00650DD6" w:rsidRDefault="00650DD6" w:rsidP="00650DD6">
      <w:pPr>
        <w:numPr>
          <w:ilvl w:val="0"/>
          <w:numId w:val="12"/>
        </w:numPr>
      </w:pPr>
      <w:r w:rsidRPr="00650DD6">
        <w:t xml:space="preserve">Introduce </w:t>
      </w:r>
      <w:r w:rsidRPr="00650DD6">
        <w:rPr>
          <w:b/>
          <w:bCs/>
        </w:rPr>
        <w:t>Mint</w:t>
      </w:r>
      <w:r w:rsidRPr="00650DD6">
        <w:t xml:space="preserve"> for male audiences and </w:t>
      </w:r>
      <w:r w:rsidRPr="00650DD6">
        <w:rPr>
          <w:b/>
          <w:bCs/>
        </w:rPr>
        <w:t>Coffee</w:t>
      </w:r>
      <w:r w:rsidRPr="00650DD6">
        <w:t xml:space="preserve"> for older consumers.</w:t>
      </w:r>
    </w:p>
    <w:p w14:paraId="67944932" w14:textId="77777777" w:rsidR="00650DD6" w:rsidRPr="00650DD6" w:rsidRDefault="00650DD6" w:rsidP="00650DD6">
      <w:pPr>
        <w:numPr>
          <w:ilvl w:val="0"/>
          <w:numId w:val="12"/>
        </w:numPr>
      </w:pPr>
      <w:r w:rsidRPr="00650DD6">
        <w:t xml:space="preserve">Incorporate </w:t>
      </w:r>
      <w:r w:rsidRPr="00650DD6">
        <w:rPr>
          <w:b/>
          <w:bCs/>
        </w:rPr>
        <w:t>natural ingredients</w:t>
      </w:r>
      <w:r w:rsidRPr="00650DD6">
        <w:t xml:space="preserve"> and </w:t>
      </w:r>
      <w:r w:rsidRPr="00650DD6">
        <w:rPr>
          <w:b/>
          <w:bCs/>
        </w:rPr>
        <w:t>low sugar content</w:t>
      </w:r>
      <w:r w:rsidRPr="00650DD6">
        <w:t xml:space="preserve"> to appeal to health-conscious segments.</w:t>
      </w:r>
    </w:p>
    <w:p w14:paraId="3EC8FEDF" w14:textId="77777777" w:rsidR="00650DD6" w:rsidRPr="00650DD6" w:rsidRDefault="00650DD6" w:rsidP="00650DD6">
      <w:pPr>
        <w:rPr>
          <w:b/>
          <w:bCs/>
        </w:rPr>
      </w:pPr>
      <w:r w:rsidRPr="00650DD6">
        <w:rPr>
          <w:b/>
          <w:bCs/>
        </w:rPr>
        <w:t>5.2 Pricing Strategy</w:t>
      </w:r>
    </w:p>
    <w:p w14:paraId="3FE68695" w14:textId="77777777" w:rsidR="00650DD6" w:rsidRPr="00650DD6" w:rsidRDefault="00650DD6" w:rsidP="00650DD6">
      <w:pPr>
        <w:numPr>
          <w:ilvl w:val="0"/>
          <w:numId w:val="13"/>
        </w:numPr>
      </w:pPr>
      <w:r w:rsidRPr="00650DD6">
        <w:t xml:space="preserve">Set the base price at </w:t>
      </w:r>
      <w:r w:rsidRPr="00650DD6">
        <w:rPr>
          <w:b/>
          <w:bCs/>
        </w:rPr>
        <w:t>EGP 25</w:t>
      </w:r>
      <w:r w:rsidRPr="00650DD6">
        <w:t xml:space="preserve"> for mainstream appeal.</w:t>
      </w:r>
    </w:p>
    <w:p w14:paraId="09C5C63E" w14:textId="77777777" w:rsidR="00650DD6" w:rsidRPr="00650DD6" w:rsidRDefault="00650DD6" w:rsidP="00650DD6">
      <w:pPr>
        <w:numPr>
          <w:ilvl w:val="0"/>
          <w:numId w:val="13"/>
        </w:numPr>
      </w:pPr>
      <w:r w:rsidRPr="00650DD6">
        <w:t xml:space="preserve">Introduce </w:t>
      </w:r>
      <w:r w:rsidRPr="00650DD6">
        <w:rPr>
          <w:b/>
          <w:bCs/>
        </w:rPr>
        <w:t>tiered pricing</w:t>
      </w:r>
      <w:r w:rsidRPr="00650DD6">
        <w:t xml:space="preserve">: </w:t>
      </w:r>
    </w:p>
    <w:p w14:paraId="0352F046" w14:textId="77777777" w:rsidR="00650DD6" w:rsidRPr="00650DD6" w:rsidRDefault="00650DD6" w:rsidP="00650DD6">
      <w:pPr>
        <w:numPr>
          <w:ilvl w:val="1"/>
          <w:numId w:val="13"/>
        </w:numPr>
      </w:pPr>
      <w:r w:rsidRPr="00650DD6">
        <w:t>Premium variants (EGP 30+) for higher-income urbanites.</w:t>
      </w:r>
    </w:p>
    <w:p w14:paraId="1FD8664D" w14:textId="77777777" w:rsidR="00650DD6" w:rsidRPr="00650DD6" w:rsidRDefault="00650DD6" w:rsidP="00650DD6">
      <w:pPr>
        <w:numPr>
          <w:ilvl w:val="1"/>
          <w:numId w:val="13"/>
        </w:numPr>
      </w:pPr>
      <w:r w:rsidRPr="00650DD6">
        <w:t>Budget-friendly options (EGP 15–20) for students and rural consumers.</w:t>
      </w:r>
    </w:p>
    <w:p w14:paraId="4BD96CA5" w14:textId="77777777" w:rsidR="00650DD6" w:rsidRPr="00650DD6" w:rsidRDefault="00650DD6" w:rsidP="00650DD6">
      <w:pPr>
        <w:rPr>
          <w:b/>
          <w:bCs/>
        </w:rPr>
      </w:pPr>
      <w:r w:rsidRPr="00650DD6">
        <w:rPr>
          <w:b/>
          <w:bCs/>
        </w:rPr>
        <w:t>5.3 Marketing Campaigns</w:t>
      </w:r>
    </w:p>
    <w:p w14:paraId="6F29CA29" w14:textId="77777777" w:rsidR="00650DD6" w:rsidRPr="00650DD6" w:rsidRDefault="00650DD6" w:rsidP="00650DD6">
      <w:pPr>
        <w:numPr>
          <w:ilvl w:val="0"/>
          <w:numId w:val="14"/>
        </w:numPr>
      </w:pPr>
      <w:r w:rsidRPr="00650DD6">
        <w:rPr>
          <w:b/>
          <w:bCs/>
        </w:rPr>
        <w:t>Digital Marketing:</w:t>
      </w:r>
      <w:r w:rsidRPr="00650DD6">
        <w:t xml:space="preserve"> Leverage social media platforms to engage younger demographics (students, social event drinkers).</w:t>
      </w:r>
    </w:p>
    <w:p w14:paraId="313D6707" w14:textId="77777777" w:rsidR="00650DD6" w:rsidRPr="00650DD6" w:rsidRDefault="00650DD6" w:rsidP="00650DD6">
      <w:pPr>
        <w:numPr>
          <w:ilvl w:val="0"/>
          <w:numId w:val="14"/>
        </w:numPr>
      </w:pPr>
      <w:r w:rsidRPr="00650DD6">
        <w:rPr>
          <w:b/>
          <w:bCs/>
        </w:rPr>
        <w:t>Corporate Partnerships:</w:t>
      </w:r>
      <w:r w:rsidRPr="00650DD6">
        <w:t xml:space="preserve"> Partner with offices and gyms to promote productivity and health benefits.</w:t>
      </w:r>
    </w:p>
    <w:p w14:paraId="1BA6532F" w14:textId="77777777" w:rsidR="00650DD6" w:rsidRPr="00650DD6" w:rsidRDefault="00650DD6" w:rsidP="00650DD6">
      <w:pPr>
        <w:numPr>
          <w:ilvl w:val="0"/>
          <w:numId w:val="14"/>
        </w:numPr>
      </w:pPr>
      <w:r w:rsidRPr="00650DD6">
        <w:rPr>
          <w:b/>
          <w:bCs/>
        </w:rPr>
        <w:t>Sustainability Messaging:</w:t>
      </w:r>
      <w:r w:rsidRPr="00650DD6">
        <w:t xml:space="preserve"> Highlight eco-friendly practices to attract environmentally conscious consumers.</w:t>
      </w:r>
    </w:p>
    <w:p w14:paraId="56D1EB2B" w14:textId="77777777" w:rsidR="00650DD6" w:rsidRPr="00650DD6" w:rsidRDefault="00650DD6" w:rsidP="00650DD6">
      <w:pPr>
        <w:rPr>
          <w:b/>
          <w:bCs/>
        </w:rPr>
      </w:pPr>
      <w:r w:rsidRPr="00650DD6">
        <w:rPr>
          <w:b/>
          <w:bCs/>
        </w:rPr>
        <w:t>5.4 Distribution Channels</w:t>
      </w:r>
    </w:p>
    <w:p w14:paraId="4E37BA32" w14:textId="77777777" w:rsidR="00650DD6" w:rsidRPr="00650DD6" w:rsidRDefault="00650DD6" w:rsidP="00650DD6">
      <w:pPr>
        <w:numPr>
          <w:ilvl w:val="0"/>
          <w:numId w:val="15"/>
        </w:numPr>
      </w:pPr>
      <w:r w:rsidRPr="00650DD6">
        <w:t>Ensure wide availability of canned products in urban areas (Cairo, Alexandria).</w:t>
      </w:r>
    </w:p>
    <w:p w14:paraId="4AEEE761" w14:textId="77777777" w:rsidR="00650DD6" w:rsidRPr="00650DD6" w:rsidRDefault="00650DD6" w:rsidP="00650DD6">
      <w:pPr>
        <w:numPr>
          <w:ilvl w:val="0"/>
          <w:numId w:val="15"/>
        </w:numPr>
      </w:pPr>
      <w:r w:rsidRPr="00650DD6">
        <w:t>Use local retail outlets and supermarkets for rural distribution.</w:t>
      </w:r>
    </w:p>
    <w:p w14:paraId="4A2F5E90" w14:textId="77777777" w:rsidR="00650DD6" w:rsidRPr="00650DD6" w:rsidRDefault="00650DD6" w:rsidP="00650DD6">
      <w:pPr>
        <w:numPr>
          <w:ilvl w:val="0"/>
          <w:numId w:val="15"/>
        </w:numPr>
      </w:pPr>
      <w:r w:rsidRPr="00650DD6">
        <w:t>Explore online sales and e-commerce platforms to reach tech-savvy audiences.</w:t>
      </w:r>
    </w:p>
    <w:p w14:paraId="164B8A7D" w14:textId="77777777" w:rsidR="00650DD6" w:rsidRPr="00650DD6" w:rsidRDefault="00650DD6" w:rsidP="00650DD6">
      <w:pPr>
        <w:rPr>
          <w:b/>
          <w:bCs/>
        </w:rPr>
      </w:pPr>
      <w:r w:rsidRPr="00650DD6">
        <w:rPr>
          <w:b/>
          <w:bCs/>
        </w:rPr>
        <w:lastRenderedPageBreak/>
        <w:t>5.5 Competitive Differentiation</w:t>
      </w:r>
    </w:p>
    <w:p w14:paraId="6B0C9E85" w14:textId="77777777" w:rsidR="00650DD6" w:rsidRPr="00650DD6" w:rsidRDefault="00650DD6" w:rsidP="00650DD6">
      <w:pPr>
        <w:numPr>
          <w:ilvl w:val="0"/>
          <w:numId w:val="16"/>
        </w:numPr>
      </w:pPr>
      <w:r w:rsidRPr="00650DD6">
        <w:t xml:space="preserve">Position NutriBev as a </w:t>
      </w:r>
      <w:r w:rsidRPr="00650DD6">
        <w:rPr>
          <w:b/>
          <w:bCs/>
        </w:rPr>
        <w:t>premium health-focused brand</w:t>
      </w:r>
      <w:r w:rsidRPr="00650DD6">
        <w:t xml:space="preserve"> offering unique flavors and natural ingredients.</w:t>
      </w:r>
    </w:p>
    <w:p w14:paraId="5E2A4E99" w14:textId="77777777" w:rsidR="00650DD6" w:rsidRPr="00650DD6" w:rsidRDefault="00650DD6" w:rsidP="00650DD6">
      <w:pPr>
        <w:numPr>
          <w:ilvl w:val="0"/>
          <w:numId w:val="16"/>
        </w:numPr>
      </w:pPr>
      <w:r w:rsidRPr="00650DD6">
        <w:t>Build trust through consistent quality and strong branding efforts.</w:t>
      </w:r>
    </w:p>
    <w:p w14:paraId="18162E35" w14:textId="77777777" w:rsidR="00650DD6" w:rsidRPr="00650DD6" w:rsidRDefault="00650DD6" w:rsidP="00650DD6">
      <w:pPr>
        <w:numPr>
          <w:ilvl w:val="0"/>
          <w:numId w:val="16"/>
        </w:numPr>
      </w:pPr>
      <w:r w:rsidRPr="00650DD6">
        <w:t>Address gaps in the market by emphasizing sustainability and innovation.</w:t>
      </w:r>
    </w:p>
    <w:p w14:paraId="25F76CF0" w14:textId="77777777" w:rsidR="00650DD6" w:rsidRPr="00650DD6" w:rsidRDefault="00650DD6" w:rsidP="00650DD6">
      <w:r w:rsidRPr="00650DD6">
        <w:pict w14:anchorId="39B7006B">
          <v:rect id="_x0000_i1130" style="width:0;height:1.5pt" o:hralign="center" o:hrstd="t" o:hr="t" fillcolor="#a0a0a0" stroked="f"/>
        </w:pict>
      </w:r>
    </w:p>
    <w:p w14:paraId="201B0A2E" w14:textId="77777777" w:rsidR="00650DD6" w:rsidRPr="00650DD6" w:rsidRDefault="00650DD6" w:rsidP="00650DD6">
      <w:pPr>
        <w:rPr>
          <w:b/>
          <w:bCs/>
        </w:rPr>
      </w:pPr>
      <w:r w:rsidRPr="00650DD6">
        <w:rPr>
          <w:b/>
          <w:bCs/>
        </w:rPr>
        <w:t>6. Conclusion</w:t>
      </w:r>
    </w:p>
    <w:p w14:paraId="48625C21" w14:textId="77777777" w:rsidR="00650DD6" w:rsidRPr="00650DD6" w:rsidRDefault="00650DD6" w:rsidP="00650DD6">
      <w:r w:rsidRPr="00650DD6">
        <w:t>This market research provides valuable insights into consumer preferences, behavior, and perceptions in the energy drink market. By tailoring its product offerings, pricing strategies, and marketing campaigns to distinct segments, NutriBev can successfully capture market share and drive profitability.</w:t>
      </w:r>
    </w:p>
    <w:p w14:paraId="00753A87" w14:textId="77777777" w:rsidR="00650DD6" w:rsidRPr="00650DD6" w:rsidRDefault="00650DD6" w:rsidP="00650DD6">
      <w:r w:rsidRPr="00650DD6">
        <w:t>Key takeaways include:</w:t>
      </w:r>
    </w:p>
    <w:p w14:paraId="2C530D09" w14:textId="77777777" w:rsidR="00650DD6" w:rsidRPr="00650DD6" w:rsidRDefault="00650DD6" w:rsidP="00650DD6">
      <w:pPr>
        <w:numPr>
          <w:ilvl w:val="0"/>
          <w:numId w:val="17"/>
        </w:numPr>
      </w:pPr>
      <w:r w:rsidRPr="00650DD6">
        <w:rPr>
          <w:b/>
          <w:bCs/>
        </w:rPr>
        <w:t>Citrus</w:t>
      </w:r>
      <w:r w:rsidRPr="00650DD6">
        <w:t xml:space="preserve"> is universally popular, making it a cornerstone flavor.</w:t>
      </w:r>
    </w:p>
    <w:p w14:paraId="0927CA65" w14:textId="77777777" w:rsidR="00650DD6" w:rsidRPr="00650DD6" w:rsidRDefault="00650DD6" w:rsidP="00650DD6">
      <w:pPr>
        <w:numPr>
          <w:ilvl w:val="0"/>
          <w:numId w:val="17"/>
        </w:numPr>
      </w:pPr>
      <w:r w:rsidRPr="00650DD6">
        <w:rPr>
          <w:b/>
          <w:bCs/>
        </w:rPr>
        <w:t>Higher-income urban professionals</w:t>
      </w:r>
      <w:r w:rsidRPr="00650DD6">
        <w:t xml:space="preserve"> represent the most lucrative segment, prioritizing premium products and health benefits.</w:t>
      </w:r>
    </w:p>
    <w:p w14:paraId="568C458A" w14:textId="77777777" w:rsidR="00650DD6" w:rsidRPr="00650DD6" w:rsidRDefault="00650DD6" w:rsidP="00650DD6">
      <w:pPr>
        <w:numPr>
          <w:ilvl w:val="0"/>
          <w:numId w:val="17"/>
        </w:numPr>
      </w:pPr>
      <w:r w:rsidRPr="00650DD6">
        <w:rPr>
          <w:b/>
          <w:bCs/>
        </w:rPr>
        <w:t>Eco-friendly packaging</w:t>
      </w:r>
      <w:r w:rsidRPr="00650DD6">
        <w:t xml:space="preserve"> appeals to environmentally conscious consumers but does not directly translate into higher willingness to pay.</w:t>
      </w:r>
    </w:p>
    <w:p w14:paraId="5E54B435" w14:textId="77777777" w:rsidR="00650DD6" w:rsidRPr="00650DD6" w:rsidRDefault="00650DD6" w:rsidP="00650DD6">
      <w:pPr>
        <w:numPr>
          <w:ilvl w:val="0"/>
          <w:numId w:val="17"/>
        </w:numPr>
      </w:pPr>
      <w:r w:rsidRPr="00650DD6">
        <w:rPr>
          <w:b/>
          <w:bCs/>
        </w:rPr>
        <w:t>Taste and brand reputation</w:t>
      </w:r>
      <w:r w:rsidRPr="00650DD6">
        <w:t xml:space="preserve"> are critical for fostering loyalty.</w:t>
      </w:r>
    </w:p>
    <w:p w14:paraId="72923B27" w14:textId="77777777" w:rsidR="00650DD6" w:rsidRPr="00650DD6" w:rsidRDefault="00650DD6" w:rsidP="00650DD6">
      <w:r w:rsidRPr="00650DD6">
        <w:t>By implementing these recommendations, NutriBev can differentiate itself from competitors and establish a strong foothold in the energy drink market.</w:t>
      </w:r>
    </w:p>
    <w:p w14:paraId="6EF44891" w14:textId="77777777" w:rsidR="00650DD6" w:rsidRPr="00650DD6" w:rsidRDefault="00650DD6" w:rsidP="00650DD6">
      <w:r w:rsidRPr="00650DD6">
        <w:pict w14:anchorId="3C97EAE1">
          <v:rect id="_x0000_i1131" style="width:0;height:1.5pt" o:hralign="center" o:hrstd="t" o:hr="t" fillcolor="#a0a0a0" stroked="f"/>
        </w:pict>
      </w:r>
    </w:p>
    <w:p w14:paraId="2C90D731" w14:textId="77777777" w:rsidR="00650DD6" w:rsidRPr="00650DD6" w:rsidRDefault="00650DD6" w:rsidP="00650DD6">
      <w:pPr>
        <w:rPr>
          <w:b/>
          <w:bCs/>
        </w:rPr>
      </w:pPr>
      <w:r w:rsidRPr="00650DD6">
        <w:rPr>
          <w:b/>
          <w:bCs/>
        </w:rPr>
        <w:t>7. Appendices</w:t>
      </w:r>
    </w:p>
    <w:p w14:paraId="4B9C37A9" w14:textId="77777777" w:rsidR="00650DD6" w:rsidRPr="00650DD6" w:rsidRDefault="00650DD6" w:rsidP="00650DD6">
      <w:pPr>
        <w:rPr>
          <w:b/>
          <w:bCs/>
        </w:rPr>
      </w:pPr>
      <w:r w:rsidRPr="00650DD6">
        <w:rPr>
          <w:b/>
          <w:bCs/>
        </w:rPr>
        <w:t>7.1 Survey Demographics</w:t>
      </w:r>
    </w:p>
    <w:p w14:paraId="43102576" w14:textId="77777777" w:rsidR="00650DD6" w:rsidRPr="00650DD6" w:rsidRDefault="00650DD6" w:rsidP="00650DD6">
      <w:pPr>
        <w:numPr>
          <w:ilvl w:val="0"/>
          <w:numId w:val="18"/>
        </w:numPr>
      </w:pPr>
      <w:r w:rsidRPr="00650DD6">
        <w:t>Total Respondents: 369</w:t>
      </w:r>
    </w:p>
    <w:p w14:paraId="5D79FC41" w14:textId="77777777" w:rsidR="00650DD6" w:rsidRPr="00650DD6" w:rsidRDefault="00650DD6" w:rsidP="00650DD6">
      <w:pPr>
        <w:numPr>
          <w:ilvl w:val="0"/>
          <w:numId w:val="18"/>
        </w:numPr>
      </w:pPr>
      <w:r w:rsidRPr="00650DD6">
        <w:t>Gender Distribution: Male (47.2%), Female (48.8%), Prefer Not to Say (4.1%)</w:t>
      </w:r>
    </w:p>
    <w:p w14:paraId="2BCF2208" w14:textId="77777777" w:rsidR="00650DD6" w:rsidRPr="00650DD6" w:rsidRDefault="00650DD6" w:rsidP="00650DD6">
      <w:pPr>
        <w:numPr>
          <w:ilvl w:val="0"/>
          <w:numId w:val="18"/>
        </w:numPr>
      </w:pPr>
      <w:r w:rsidRPr="00650DD6">
        <w:t>Age Groups: Under 18 (6.5%), 18–24 (52.0%), 25–34 (31.7%), 35+ (9.8%)</w:t>
      </w:r>
    </w:p>
    <w:p w14:paraId="44594D45" w14:textId="77777777" w:rsidR="00650DD6" w:rsidRPr="00650DD6" w:rsidRDefault="00650DD6" w:rsidP="00650DD6">
      <w:pPr>
        <w:rPr>
          <w:b/>
          <w:bCs/>
        </w:rPr>
      </w:pPr>
      <w:r w:rsidRPr="00650DD6">
        <w:rPr>
          <w:b/>
          <w:bCs/>
        </w:rPr>
        <w:t>7.2 Statistical Significance</w:t>
      </w:r>
    </w:p>
    <w:p w14:paraId="30F62B08" w14:textId="77777777" w:rsidR="00650DD6" w:rsidRPr="00650DD6" w:rsidRDefault="00650DD6" w:rsidP="00650DD6">
      <w:pPr>
        <w:numPr>
          <w:ilvl w:val="0"/>
          <w:numId w:val="19"/>
        </w:numPr>
      </w:pPr>
      <w:r w:rsidRPr="00650DD6">
        <w:lastRenderedPageBreak/>
        <w:t>Chi-Square tests confirm significant differences in preferences across demographics (p &lt; 0.001).</w:t>
      </w:r>
    </w:p>
    <w:p w14:paraId="6EDD9903" w14:textId="77777777" w:rsidR="00650DD6" w:rsidRPr="00650DD6" w:rsidRDefault="00650DD6" w:rsidP="00650DD6">
      <w:pPr>
        <w:numPr>
          <w:ilvl w:val="0"/>
          <w:numId w:val="19"/>
        </w:numPr>
      </w:pPr>
      <w:r w:rsidRPr="00650DD6">
        <w:t>Spearman’s rho correlations highlight relationships between variables (e.g., flavor variety and willingness to try new brands: ρ = 0.752, p &lt; 0.001).</w:t>
      </w:r>
    </w:p>
    <w:p w14:paraId="4643F064" w14:textId="77777777" w:rsidR="00650DD6" w:rsidRPr="00650DD6" w:rsidRDefault="00650DD6" w:rsidP="00650DD6">
      <w:pPr>
        <w:rPr>
          <w:b/>
          <w:bCs/>
        </w:rPr>
      </w:pPr>
      <w:r w:rsidRPr="00650DD6">
        <w:rPr>
          <w:b/>
          <w:bCs/>
        </w:rPr>
        <w:t>7.3 Visualizations</w:t>
      </w:r>
    </w:p>
    <w:p w14:paraId="376A002C" w14:textId="77777777" w:rsidR="00650DD6" w:rsidRPr="00650DD6" w:rsidRDefault="00650DD6" w:rsidP="00650DD6">
      <w:r w:rsidRPr="00650DD6">
        <w:t>Include bar charts, pie charts, and cross-tabulation tables summarizing key findings for each category.</w:t>
      </w:r>
    </w:p>
    <w:p w14:paraId="78957BA3" w14:textId="77777777" w:rsidR="00650DD6" w:rsidRPr="00650DD6" w:rsidRDefault="00650DD6" w:rsidP="00650DD6">
      <w:r w:rsidRPr="00650DD6">
        <w:pict w14:anchorId="2B1A83B2">
          <v:rect id="_x0000_i1132" style="width:0;height:1.5pt" o:hralign="center" o:hrstd="t" o:hr="t" fillcolor="#a0a0a0" stroked="f"/>
        </w:pict>
      </w:r>
    </w:p>
    <w:p w14:paraId="08F9F212" w14:textId="77777777" w:rsidR="00650DD6" w:rsidRDefault="00650DD6"/>
    <w:sectPr w:rsidR="00650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9D71A3"/>
    <w:multiLevelType w:val="multilevel"/>
    <w:tmpl w:val="AF8AC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D4FB4"/>
    <w:multiLevelType w:val="multilevel"/>
    <w:tmpl w:val="EBF0F3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A59EC"/>
    <w:multiLevelType w:val="multilevel"/>
    <w:tmpl w:val="F860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F335F"/>
    <w:multiLevelType w:val="multilevel"/>
    <w:tmpl w:val="E512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274465"/>
    <w:multiLevelType w:val="multilevel"/>
    <w:tmpl w:val="1018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A13602"/>
    <w:multiLevelType w:val="multilevel"/>
    <w:tmpl w:val="5B402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5A5654"/>
    <w:multiLevelType w:val="multilevel"/>
    <w:tmpl w:val="59B8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23525E"/>
    <w:multiLevelType w:val="multilevel"/>
    <w:tmpl w:val="6396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A04168"/>
    <w:multiLevelType w:val="multilevel"/>
    <w:tmpl w:val="C302B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EA6D61"/>
    <w:multiLevelType w:val="multilevel"/>
    <w:tmpl w:val="02B05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DA41F3"/>
    <w:multiLevelType w:val="multilevel"/>
    <w:tmpl w:val="B0B6D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830914"/>
    <w:multiLevelType w:val="multilevel"/>
    <w:tmpl w:val="E98A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112FF1"/>
    <w:multiLevelType w:val="multilevel"/>
    <w:tmpl w:val="E9086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BB28FC"/>
    <w:multiLevelType w:val="multilevel"/>
    <w:tmpl w:val="F7E49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FB2F4C"/>
    <w:multiLevelType w:val="multilevel"/>
    <w:tmpl w:val="62CC8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FD7B5E"/>
    <w:multiLevelType w:val="multilevel"/>
    <w:tmpl w:val="33A22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3D493C"/>
    <w:multiLevelType w:val="multilevel"/>
    <w:tmpl w:val="A0429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C53FB"/>
    <w:multiLevelType w:val="multilevel"/>
    <w:tmpl w:val="31F6F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A3994"/>
    <w:multiLevelType w:val="multilevel"/>
    <w:tmpl w:val="665AE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0627727">
    <w:abstractNumId w:val="0"/>
  </w:num>
  <w:num w:numId="2" w16cid:durableId="1943147085">
    <w:abstractNumId w:val="1"/>
  </w:num>
  <w:num w:numId="3" w16cid:durableId="1443843359">
    <w:abstractNumId w:val="12"/>
  </w:num>
  <w:num w:numId="4" w16cid:durableId="356196125">
    <w:abstractNumId w:val="15"/>
  </w:num>
  <w:num w:numId="5" w16cid:durableId="1074742288">
    <w:abstractNumId w:val="10"/>
  </w:num>
  <w:num w:numId="6" w16cid:durableId="220332076">
    <w:abstractNumId w:val="14"/>
  </w:num>
  <w:num w:numId="7" w16cid:durableId="1439595335">
    <w:abstractNumId w:val="7"/>
  </w:num>
  <w:num w:numId="8" w16cid:durableId="363217500">
    <w:abstractNumId w:val="5"/>
  </w:num>
  <w:num w:numId="9" w16cid:durableId="1737970282">
    <w:abstractNumId w:val="18"/>
  </w:num>
  <w:num w:numId="10" w16cid:durableId="813957831">
    <w:abstractNumId w:val="16"/>
  </w:num>
  <w:num w:numId="11" w16cid:durableId="74980173">
    <w:abstractNumId w:val="8"/>
  </w:num>
  <w:num w:numId="12" w16cid:durableId="233590374">
    <w:abstractNumId w:val="9"/>
  </w:num>
  <w:num w:numId="13" w16cid:durableId="1963413529">
    <w:abstractNumId w:val="13"/>
  </w:num>
  <w:num w:numId="14" w16cid:durableId="1091509373">
    <w:abstractNumId w:val="4"/>
  </w:num>
  <w:num w:numId="15" w16cid:durableId="1580603869">
    <w:abstractNumId w:val="6"/>
  </w:num>
  <w:num w:numId="16" w16cid:durableId="2039236264">
    <w:abstractNumId w:val="17"/>
  </w:num>
  <w:num w:numId="17" w16cid:durableId="667098841">
    <w:abstractNumId w:val="11"/>
  </w:num>
  <w:num w:numId="18" w16cid:durableId="1611621553">
    <w:abstractNumId w:val="2"/>
  </w:num>
  <w:num w:numId="19" w16cid:durableId="1783718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DD6"/>
    <w:rsid w:val="001F0AD7"/>
    <w:rsid w:val="005A7DB2"/>
    <w:rsid w:val="00650DD6"/>
    <w:rsid w:val="0098222B"/>
    <w:rsid w:val="00E436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F4F89"/>
  <w15:chartTrackingRefBased/>
  <w15:docId w15:val="{85F0F2C5-255F-4809-BFCB-FC26CC308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D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D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D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D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D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D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D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D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D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D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D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D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D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D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D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D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D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DD6"/>
    <w:rPr>
      <w:rFonts w:eastAsiaTheme="majorEastAsia" w:cstheme="majorBidi"/>
      <w:color w:val="272727" w:themeColor="text1" w:themeTint="D8"/>
    </w:rPr>
  </w:style>
  <w:style w:type="paragraph" w:styleId="Title">
    <w:name w:val="Title"/>
    <w:basedOn w:val="Normal"/>
    <w:next w:val="Normal"/>
    <w:link w:val="TitleChar"/>
    <w:uiPriority w:val="10"/>
    <w:qFormat/>
    <w:rsid w:val="00650D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D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D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D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DD6"/>
    <w:pPr>
      <w:spacing w:before="160"/>
      <w:jc w:val="center"/>
    </w:pPr>
    <w:rPr>
      <w:i/>
      <w:iCs/>
      <w:color w:val="404040" w:themeColor="text1" w:themeTint="BF"/>
    </w:rPr>
  </w:style>
  <w:style w:type="character" w:customStyle="1" w:styleId="QuoteChar">
    <w:name w:val="Quote Char"/>
    <w:basedOn w:val="DefaultParagraphFont"/>
    <w:link w:val="Quote"/>
    <w:uiPriority w:val="29"/>
    <w:rsid w:val="00650DD6"/>
    <w:rPr>
      <w:i/>
      <w:iCs/>
      <w:color w:val="404040" w:themeColor="text1" w:themeTint="BF"/>
    </w:rPr>
  </w:style>
  <w:style w:type="paragraph" w:styleId="ListParagraph">
    <w:name w:val="List Paragraph"/>
    <w:basedOn w:val="Normal"/>
    <w:uiPriority w:val="34"/>
    <w:qFormat/>
    <w:rsid w:val="00650DD6"/>
    <w:pPr>
      <w:ind w:left="720"/>
      <w:contextualSpacing/>
    </w:pPr>
  </w:style>
  <w:style w:type="character" w:styleId="IntenseEmphasis">
    <w:name w:val="Intense Emphasis"/>
    <w:basedOn w:val="DefaultParagraphFont"/>
    <w:uiPriority w:val="21"/>
    <w:qFormat/>
    <w:rsid w:val="00650DD6"/>
    <w:rPr>
      <w:i/>
      <w:iCs/>
      <w:color w:val="0F4761" w:themeColor="accent1" w:themeShade="BF"/>
    </w:rPr>
  </w:style>
  <w:style w:type="paragraph" w:styleId="IntenseQuote">
    <w:name w:val="Intense Quote"/>
    <w:basedOn w:val="Normal"/>
    <w:next w:val="Normal"/>
    <w:link w:val="IntenseQuoteChar"/>
    <w:uiPriority w:val="30"/>
    <w:qFormat/>
    <w:rsid w:val="00650D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DD6"/>
    <w:rPr>
      <w:i/>
      <w:iCs/>
      <w:color w:val="0F4761" w:themeColor="accent1" w:themeShade="BF"/>
    </w:rPr>
  </w:style>
  <w:style w:type="character" w:styleId="IntenseReference">
    <w:name w:val="Intense Reference"/>
    <w:basedOn w:val="DefaultParagraphFont"/>
    <w:uiPriority w:val="32"/>
    <w:qFormat/>
    <w:rsid w:val="00650DD6"/>
    <w:rPr>
      <w:b/>
      <w:bCs/>
      <w:smallCaps/>
      <w:color w:val="0F4761" w:themeColor="accent1" w:themeShade="BF"/>
      <w:spacing w:val="5"/>
    </w:rPr>
  </w:style>
  <w:style w:type="paragraph" w:styleId="NoSpacing">
    <w:name w:val="No Spacing"/>
    <w:link w:val="NoSpacingChar"/>
    <w:uiPriority w:val="1"/>
    <w:qFormat/>
    <w:rsid w:val="001F0AD7"/>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1F0AD7"/>
    <w:rPr>
      <w:rFonts w:eastAsiaTheme="minorEastAsia"/>
      <w:kern w:val="0"/>
      <w:sz w:val="22"/>
      <w:szCs w:val="22"/>
      <w14:ligatures w14:val="none"/>
    </w:rPr>
  </w:style>
  <w:style w:type="paragraph" w:styleId="TOCHeading">
    <w:name w:val="TOC Heading"/>
    <w:basedOn w:val="Heading1"/>
    <w:next w:val="Normal"/>
    <w:uiPriority w:val="39"/>
    <w:unhideWhenUsed/>
    <w:qFormat/>
    <w:rsid w:val="001F0AD7"/>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330823">
      <w:bodyDiv w:val="1"/>
      <w:marLeft w:val="0"/>
      <w:marRight w:val="0"/>
      <w:marTop w:val="0"/>
      <w:marBottom w:val="0"/>
      <w:divBdr>
        <w:top w:val="none" w:sz="0" w:space="0" w:color="auto"/>
        <w:left w:val="none" w:sz="0" w:space="0" w:color="auto"/>
        <w:bottom w:val="none" w:sz="0" w:space="0" w:color="auto"/>
        <w:right w:val="none" w:sz="0" w:space="0" w:color="auto"/>
      </w:divBdr>
    </w:div>
    <w:div w:id="556748654">
      <w:bodyDiv w:val="1"/>
      <w:marLeft w:val="0"/>
      <w:marRight w:val="0"/>
      <w:marTop w:val="0"/>
      <w:marBottom w:val="0"/>
      <w:divBdr>
        <w:top w:val="none" w:sz="0" w:space="0" w:color="auto"/>
        <w:left w:val="none" w:sz="0" w:space="0" w:color="auto"/>
        <w:bottom w:val="none" w:sz="0" w:space="0" w:color="auto"/>
        <w:right w:val="none" w:sz="0" w:space="0" w:color="auto"/>
      </w:divBdr>
      <w:divsChild>
        <w:div w:id="1214924612">
          <w:marLeft w:val="0"/>
          <w:marRight w:val="0"/>
          <w:marTop w:val="0"/>
          <w:marBottom w:val="0"/>
          <w:divBdr>
            <w:top w:val="none" w:sz="0" w:space="0" w:color="auto"/>
            <w:left w:val="none" w:sz="0" w:space="0" w:color="auto"/>
            <w:bottom w:val="none" w:sz="0" w:space="0" w:color="auto"/>
            <w:right w:val="none" w:sz="0" w:space="0" w:color="auto"/>
          </w:divBdr>
          <w:divsChild>
            <w:div w:id="795028992">
              <w:marLeft w:val="0"/>
              <w:marRight w:val="0"/>
              <w:marTop w:val="0"/>
              <w:marBottom w:val="0"/>
              <w:divBdr>
                <w:top w:val="none" w:sz="0" w:space="0" w:color="auto"/>
                <w:left w:val="none" w:sz="0" w:space="0" w:color="auto"/>
                <w:bottom w:val="none" w:sz="0" w:space="0" w:color="auto"/>
                <w:right w:val="none" w:sz="0" w:space="0" w:color="auto"/>
              </w:divBdr>
              <w:divsChild>
                <w:div w:id="993415799">
                  <w:marLeft w:val="0"/>
                  <w:marRight w:val="0"/>
                  <w:marTop w:val="0"/>
                  <w:marBottom w:val="0"/>
                  <w:divBdr>
                    <w:top w:val="none" w:sz="0" w:space="0" w:color="auto"/>
                    <w:left w:val="none" w:sz="0" w:space="0" w:color="auto"/>
                    <w:bottom w:val="none" w:sz="0" w:space="0" w:color="auto"/>
                    <w:right w:val="none" w:sz="0" w:space="0" w:color="auto"/>
                  </w:divBdr>
                  <w:divsChild>
                    <w:div w:id="820846692">
                      <w:marLeft w:val="0"/>
                      <w:marRight w:val="0"/>
                      <w:marTop w:val="0"/>
                      <w:marBottom w:val="0"/>
                      <w:divBdr>
                        <w:top w:val="none" w:sz="0" w:space="0" w:color="auto"/>
                        <w:left w:val="none" w:sz="0" w:space="0" w:color="auto"/>
                        <w:bottom w:val="none" w:sz="0" w:space="0" w:color="auto"/>
                        <w:right w:val="none" w:sz="0" w:space="0" w:color="auto"/>
                      </w:divBdr>
                      <w:divsChild>
                        <w:div w:id="1867985825">
                          <w:marLeft w:val="0"/>
                          <w:marRight w:val="0"/>
                          <w:marTop w:val="0"/>
                          <w:marBottom w:val="0"/>
                          <w:divBdr>
                            <w:top w:val="none" w:sz="0" w:space="0" w:color="auto"/>
                            <w:left w:val="none" w:sz="0" w:space="0" w:color="auto"/>
                            <w:bottom w:val="none" w:sz="0" w:space="0" w:color="auto"/>
                            <w:right w:val="none" w:sz="0" w:space="0" w:color="auto"/>
                          </w:divBdr>
                          <w:divsChild>
                            <w:div w:id="299313708">
                              <w:marLeft w:val="0"/>
                              <w:marRight w:val="0"/>
                              <w:marTop w:val="0"/>
                              <w:marBottom w:val="0"/>
                              <w:divBdr>
                                <w:top w:val="none" w:sz="0" w:space="0" w:color="auto"/>
                                <w:left w:val="none" w:sz="0" w:space="0" w:color="auto"/>
                                <w:bottom w:val="none" w:sz="0" w:space="0" w:color="auto"/>
                                <w:right w:val="none" w:sz="0" w:space="0" w:color="auto"/>
                              </w:divBdr>
                              <w:divsChild>
                                <w:div w:id="247035462">
                                  <w:marLeft w:val="0"/>
                                  <w:marRight w:val="0"/>
                                  <w:marTop w:val="0"/>
                                  <w:marBottom w:val="0"/>
                                  <w:divBdr>
                                    <w:top w:val="none" w:sz="0" w:space="0" w:color="auto"/>
                                    <w:left w:val="none" w:sz="0" w:space="0" w:color="auto"/>
                                    <w:bottom w:val="none" w:sz="0" w:space="0" w:color="auto"/>
                                    <w:right w:val="none" w:sz="0" w:space="0" w:color="auto"/>
                                  </w:divBdr>
                                  <w:divsChild>
                                    <w:div w:id="2805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4069526">
      <w:bodyDiv w:val="1"/>
      <w:marLeft w:val="0"/>
      <w:marRight w:val="0"/>
      <w:marTop w:val="0"/>
      <w:marBottom w:val="0"/>
      <w:divBdr>
        <w:top w:val="none" w:sz="0" w:space="0" w:color="auto"/>
        <w:left w:val="none" w:sz="0" w:space="0" w:color="auto"/>
        <w:bottom w:val="none" w:sz="0" w:space="0" w:color="auto"/>
        <w:right w:val="none" w:sz="0" w:space="0" w:color="auto"/>
      </w:divBdr>
      <w:divsChild>
        <w:div w:id="1553544371">
          <w:marLeft w:val="0"/>
          <w:marRight w:val="0"/>
          <w:marTop w:val="0"/>
          <w:marBottom w:val="0"/>
          <w:divBdr>
            <w:top w:val="none" w:sz="0" w:space="0" w:color="auto"/>
            <w:left w:val="none" w:sz="0" w:space="0" w:color="auto"/>
            <w:bottom w:val="none" w:sz="0" w:space="0" w:color="auto"/>
            <w:right w:val="none" w:sz="0" w:space="0" w:color="auto"/>
          </w:divBdr>
          <w:divsChild>
            <w:div w:id="128598326">
              <w:marLeft w:val="0"/>
              <w:marRight w:val="0"/>
              <w:marTop w:val="0"/>
              <w:marBottom w:val="0"/>
              <w:divBdr>
                <w:top w:val="none" w:sz="0" w:space="0" w:color="auto"/>
                <w:left w:val="none" w:sz="0" w:space="0" w:color="auto"/>
                <w:bottom w:val="none" w:sz="0" w:space="0" w:color="auto"/>
                <w:right w:val="none" w:sz="0" w:space="0" w:color="auto"/>
              </w:divBdr>
              <w:divsChild>
                <w:div w:id="1985424951">
                  <w:marLeft w:val="0"/>
                  <w:marRight w:val="0"/>
                  <w:marTop w:val="0"/>
                  <w:marBottom w:val="0"/>
                  <w:divBdr>
                    <w:top w:val="none" w:sz="0" w:space="0" w:color="auto"/>
                    <w:left w:val="none" w:sz="0" w:space="0" w:color="auto"/>
                    <w:bottom w:val="none" w:sz="0" w:space="0" w:color="auto"/>
                    <w:right w:val="none" w:sz="0" w:space="0" w:color="auto"/>
                  </w:divBdr>
                  <w:divsChild>
                    <w:div w:id="1223980707">
                      <w:marLeft w:val="0"/>
                      <w:marRight w:val="0"/>
                      <w:marTop w:val="0"/>
                      <w:marBottom w:val="0"/>
                      <w:divBdr>
                        <w:top w:val="none" w:sz="0" w:space="0" w:color="auto"/>
                        <w:left w:val="none" w:sz="0" w:space="0" w:color="auto"/>
                        <w:bottom w:val="none" w:sz="0" w:space="0" w:color="auto"/>
                        <w:right w:val="none" w:sz="0" w:space="0" w:color="auto"/>
                      </w:divBdr>
                      <w:divsChild>
                        <w:div w:id="1584295512">
                          <w:marLeft w:val="0"/>
                          <w:marRight w:val="0"/>
                          <w:marTop w:val="0"/>
                          <w:marBottom w:val="0"/>
                          <w:divBdr>
                            <w:top w:val="none" w:sz="0" w:space="0" w:color="auto"/>
                            <w:left w:val="none" w:sz="0" w:space="0" w:color="auto"/>
                            <w:bottom w:val="none" w:sz="0" w:space="0" w:color="auto"/>
                            <w:right w:val="none" w:sz="0" w:space="0" w:color="auto"/>
                          </w:divBdr>
                          <w:divsChild>
                            <w:div w:id="1848864601">
                              <w:marLeft w:val="0"/>
                              <w:marRight w:val="0"/>
                              <w:marTop w:val="0"/>
                              <w:marBottom w:val="0"/>
                              <w:divBdr>
                                <w:top w:val="none" w:sz="0" w:space="0" w:color="auto"/>
                                <w:left w:val="none" w:sz="0" w:space="0" w:color="auto"/>
                                <w:bottom w:val="none" w:sz="0" w:space="0" w:color="auto"/>
                                <w:right w:val="none" w:sz="0" w:space="0" w:color="auto"/>
                              </w:divBdr>
                              <w:divsChild>
                                <w:div w:id="1745224320">
                                  <w:marLeft w:val="0"/>
                                  <w:marRight w:val="0"/>
                                  <w:marTop w:val="0"/>
                                  <w:marBottom w:val="0"/>
                                  <w:divBdr>
                                    <w:top w:val="none" w:sz="0" w:space="0" w:color="auto"/>
                                    <w:left w:val="none" w:sz="0" w:space="0" w:color="auto"/>
                                    <w:bottom w:val="none" w:sz="0" w:space="0" w:color="auto"/>
                                    <w:right w:val="none" w:sz="0" w:space="0" w:color="auto"/>
                                  </w:divBdr>
                                  <w:divsChild>
                                    <w:div w:id="102605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825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24F4C5-75BA-4CBA-A3C2-CE46EF450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ABDELLATIF OMRAN HASSAN</dc:creator>
  <cp:keywords/>
  <dc:description/>
  <cp:lastModifiedBy>AHMED MOHAMED ABDELLATIF OMRAN HASSAN</cp:lastModifiedBy>
  <cp:revision>3</cp:revision>
  <dcterms:created xsi:type="dcterms:W3CDTF">2025-03-01T04:03:00Z</dcterms:created>
  <dcterms:modified xsi:type="dcterms:W3CDTF">2025-03-01T05:05:00Z</dcterms:modified>
</cp:coreProperties>
</file>