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Predictive Modeling and Dispatch Optimization Strategies for the Solship Energy AI Challenge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distributed energy resources into the modern electrical grid represents one of the most complex cyber-physical challenges of the contemporary era. At the residential level, the proliferation of photovoltaic systems and battery energy storage systems necessitates sophisticated control architectures to ensure grid stability and maximize economic value for the prosumer. Competitive scenarios targeting these exact parameters, such as the Solship hackathon, require a dual-pronged algorithmic architecture: a highly accurate, high-resolution forecasting module to predict residential electrical loads alongside photovoltaic generation, coupled with a deterministic or stochastic optimization framework to schedule optimal battery dispatch. The successful deployment of such an architecture demands an exhaustive understanding of local weather dynamics, regional calendar anomalies, complex electricity market structures, and the mathematical rigor required to defeat heuristic baseline controllers.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analytical framework detailed herein deconstructs the necessary components to achieve superior performance in sub-hourly energy modeling and storage optimization, specifically tailored to the geographic and economic realities of the Italian energy market in the 2024 and 2025 temporal horizons. By synthesizing state-of-the-art machine learning forecasting techniques with mixed-integer linear programming and model predictive control, this report provides a comprehensive blueprint for maximizing predictive accuracy and economic arbitrage.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Ecosystem and Exogenous Feature Engineering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 of any robust forecasting and optimization model lies in the exhaustive compilation and transformation of exogenous variables. For residential load forecasting at a 15-minute resolution, the primary drivers of electrical consumption are weather conditions, chronological calendar events, and prevailing electricity market prices. The models deployed must ingest highly granular historical data while seamlessly processing real-time telemetry to execute control actions.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Climatological Dynamics and Solar Irradiance Synthesis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geographic focus on Northern Italy, specifically the city of Sondrio in the Lombardy region, introduces distinct seasonal weather patterns that dramatically influence residential heating, ventilation, and air conditioning loads. Sondrio is situated in an Alpine valley at an elevation of approximately 307 meters above sea level. This topography creates a unique micro-climate that differs significantly from the broader Po Valley plains, necessitating highly localized historical weather data. The reliance on simulated weather data models, such as the ERA5 reanalysis dataset or Meteoblue's history archive, is often required to achieve the 15-minute temporal granularity necessary for sub-hourly forecasting.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engineering weather features for electrical load and photovoltaic generation forecasting, relying solely on raw dry-bulb temperature data is insufficient. The transformation of dry-bulb temperature into heating degree days and cooling degree days provides a much stronger linear correlation with thermostatic load behavior. Furthermore, the inclusion of relative humidity, dew point, and apparent temperature captures the latent heat load that drives the efficiency and operational duration of residential air conditioning units during the sweltering Italian summers.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prediction of photovoltaic generation, which inherently alters the net residential load profile, global horizontal irradiance must be explicitly decomposed into direct normal irradiance and diffuse horizontal irradiance. Specialized solar forecasting APIs, such as Solcast, provide historical and real-time data that explicitly model aerosol and albedo effects, which drastically impact array performance. Because photovoltaic panel efficiency is highly sensitive to operating temperature, engineered features that combine ambient temperature with solar radiation, while accounting for wind speed as a convective cooling factor, yield superior predictive representations of solar yield. Furthermore, cloud cover variables, parsed by altitude (low, mid, and high-level clouds), serve as critical leading indicators for rapid fluctuations in solar irradiance, which in turn cause sudden spikes in net residential grid load as local generation drops.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Chronological Anomalies and Cultural Determinants of Demand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 behavior, dictated by the calendar, constitutes the secondary pillar of residential load forecasting. The transition from 2024 to 2025 introduces specific calendar shifts that must be meticulously mapped to avoid catastrophic forecasting errors during the testing horizon. Unlike commercial or industrial loads, residential consumption typically spikes during weekends and public holidays as occupancy rates increase.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Italian national holiday schedule is remarkably complex, featuring a mix of fixed-date and floating religious and civil observances. Furthermore, the cultural phenomenon of the "ponte" (bridge)—where Italians take an adjacent working day off when a public holiday falls on a Tuesday or Thursday—creates extended periods of altered consumption patterns that traditional autoregressive models universally fail to anticipate. To ensure predictive superiority, calendar features must be one-hot encoded not merely as binary "holiday" or "non-holiday" indicators, but weighted to account for the proximity to weekends and the probability of an extended bridge holiday.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Additionally, localized holidays exert a profound impact on regional loads. For instance, the local patron saint holiday for Sondrio, Saints Gervasius and Protasius, is strictly observed on June 19th. This creates a localized, mid-week residential consumption spike in Sondrio that would be completely missed by standard national calendar data.</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Date (2024/2025)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Italian Observance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Geographic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Load Profile Impact Typology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January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Capodanno (New Year's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Major Winter Baseline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January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Epifania (Epiphany)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Minor Winter Baseline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(March/April)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Pasqua (Easter Sunday)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Weekend Demand Dampening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(March/April)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Pasquetta (Easter Monday)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Floating Spring Anomaly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April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Festa della Liberazione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Spring Baseline Shift / Ponte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May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Festa dei Lavoratori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Spring Baseline Shift / Ponte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June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Festa della Repubblica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Summer Transition Anomaly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June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Santi Gervasio e Protasio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Sondrio Regional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Localized Summer Spike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August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Ferragosto (Assumption)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Major Summer Trough / Vacations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November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Ognissanti (All Saints'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Autumn Baseline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December 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Immacolata Concezione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Winter Baseline Shift / Ponte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December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Natale (Christmas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Major Winter Anomaly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December 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Santo Stefano (Boxing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Major Winter Anomaly</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these exact temporal markers into the feature space allows tree-based machine learning models to partition data effectively, preventing the misclassification of a holiday Monday as a standard working day, which would otherwise result in severe over-forecasting of morning peaks and under-forecasting of midday residential consumption. Time variables should also be cyclically encoded using sine and cosine transformations for the hour of the day and day of the year, preserving the continuous, cyclical nature of time for neural network architectures.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Electricity Market Pricing and Tariff Structures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optimize battery dispatch, the underlying economic parameters and market mechanisms must be deeply understood and mathematically modeled. The Italian electricity market has historically operated on the Prezzo Unico Nazionale (PUN), a single national clearing price. However, regulatory shifts orchestrated by the Ministry of the Environment and Energy Security mandate a transition away from the PUN toward zonal pricing models in the day-ahead market, effective January 1, 2025. This structural change signifies that historical pricing data from 2024 cannot be naively extrapolated into 2025 without applying regional spread adjustments specific to the Northern Italy bidding zone.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residential prosumers are subjected to the tariff structures defined by the Italian Regulatory Authority for Energy, Networks and Environment (ARERA). The reference price of electricity for residential customers is heavily stratified, encompassing energy procurement costs, retail marketing, transport, meter management, and general system charges.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constructing the objective function for the battery optimization model, the dynamic buying price of electricity must accurately reflect time-of-use tariffs. Italian residential tariffs traditionally rely on the F1, F2, and F3 time bands. The F1 band represents peak hours (Monday to Friday, 08:00 to 19:00), F2 covers intermediate hours (weekday evenings and Saturdays), and F3 covers off-peak hours (nights, Sundays, and public holidays). The economic viability of the battery relies entirely on charging during the F3 band or utilizing excess self-generated solar power, and subsequently discharging during the F1 peak pricing periods to perform energy arbitrage.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High-Fidelity Sub-Hourly Load and Generation Forecasting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prediction of sub-hourly residential electrical load is mathematically distinct from aggregate load forecasting at the substation, feeder, or utility level. Aggregate forecasting benefits from the law of large numbers, where the stochastic behaviors of individual consumers cancel each other out, resulting in smooth, highly predictable load curves. Conversely, individual residential loads at a 15-minute resolution are highly volatile, characterized by extreme heteroskedasticity and sudden spikes caused by the activation of high-draw appliances such as induction cooktops, heat pumps, or electric vehicle chargers. Traditional statistical models like Autoregressive Integrated Moving Average algorithms are mathematically unequipped to handle this extreme non-linearity.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Ensemble Machine Learning Frameworks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superior forecasting accuracy and minimize evaluation metrics such as Mean Absolute Percentage Error and Root Mean Square Error, the deployment of advanced machine learning and deep learning architectures is mandatory.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Gradient boosting frameworks currently represent the most robust and computationally efficient approach to handling tabular time-series data with highly non-linear exogenous variables. The integration of LightGBM, XGBoost, and CatBoost provides a comprehensive ensemble strategy that dominates predictive modeling competitions. XGBoost utilizes a regularized objective function to aggressively combat overfitting, making it highly suitable for noisy residential data. LightGBM employs gradient-based one-side sampling and exclusive feature bundling to dramatically accelerate training times on massive datasets, allowing for rapid hyperparameter optimization across a full year of 15-minute resolution data (over 35,000 data points per year).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CatBoost excels natively in handling categorical features, such as the day of the week, month, and the specific holiday indicators previously detailed, without the need for extensive pre-processing or one-hot encoding that unnecessarily inflates the dimensionality of the feature space.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Learning and Foundation Models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gradient boosting trees excel on engineered tabular features, deep learning architectures—specifically those relying on sequence-to-sequence models and self-attention mechanisms—have established new benchmarks in capturing complex spatiotemporal dynamics. Recurrent Neural Networks, particularly Long Short-Term Memory networks, are inherently designed to capture the temporal dependencies and vanishing gradients present in lengthy time-series sequences. Integrating Convolutional Neural Networks with LSTM units (ConvLSTM) has proven highly effective for predicting photovoltaic generation, as the convolutional layers extract spatial weather patterns while the LSTM layers decode the temporal sequence.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state-of-the-art, however, has evolved toward Transformer-based architectures. Transformers utilize multi-head attention mechanisms to weigh the significance of different historical time steps, allowing the model to focus on relevant past consumption patterns regardless of their temporal distance from the prediction target. This is exceptionally powerful for capturing the strict diurnal and weekly seasonality inherent in residential energy consumption.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Validation Strategies and Metric Optimization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rigor applied to feature selection and validation directly governs out-of-sample model performance. Autocorrelation and cross-correlation functions must be deployed to determine the optimal lag times for historical load inputs. For a 15-minute resolution model, lag features corresponding to exactly one day prior (96 time steps), one week prior (672 time steps), and moving averages over 3-hour, 6-hour, and 12-hour windows provide the algorithm with the necessary context to infer the baseline consumption trend.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temporal data leakage during the training phase, standard k-fold cross-validation is strictly prohibited. Because the rules explicitly forbid the inclusion of 2025 data during training, the time-series split must strictly terminate on December 31, 2024.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model must be trained entirely on the 2024 historical dataset and evaluated zero-shot on the target months of April and September 2025.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evaluation of the predictive model likely hinges on the Root Mean Square Error (RMSE), which disproportionately penalizes large outlier errors through its quadratic nature, the model must be specifically tuned to anticipate residential peak loads. Mean Absolute Percentage Error (MAPE), while scale-independent and useful for generalized accuracy assessment, often fails to adequately penalize models that completely miss sudden, high-magnitude consumption spikes. In energy optimization, missing a peak load is far more economically damaging than missing the baseline load by an equivalent percentage. Therefore, optimizing the algorithms against a custom loss function that heavily weights peak-hour under-prediction ensures maximum compatibility with the downstream battery dispatch optimizer. A model that accurately predicts the timing and magnitude of a load spike allows the battery to preemptively charge and offset the peak demand entirely, maximizing financial savings.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Prescriptive Analytics and Battery Dispatch Optimization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phase of the architecture requires translating the highly accurate load and solar generation forecasts into an actionable, mathematically optimal control strategy for the Battery Energy Storage System (BESS). The objective is to minimize the total operational cost (or maximize economic savings) by intelligently determining when to charge the battery from the grid, charge from excess solar generation, discharge to meet residential load, or discharge back to the grid for remuneration.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Deconstructing and Defeating Baseline Heuristics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Typical baseline controllers—often designated as Baseline A or Baseline B in competitive environments—rely on rigid, rule-based heuristics that fail to maximize the economic potential of the storage asset. A universally common baseline strategy is "load-following" (or self-consumption maximization). Under this heuristic, the battery blindly discharges whenever the residential load exceeds solar generation, and charges whenever solar generation exceeds the load. Another common baseline is static "time-of-use arbitrage," where the battery is hard-coded to charge strictly during off-peak hours (e.g., F3 bands) and discharge completely during peak hours (e.g., F1 bands), regardless of the actual residential demand or dynamic weather conditions.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baselines fail mathematically because they are completely devoid of foresight. A load-following heuristic will rapidly deplete the battery capacity during a minor morning load spike, leaving the battery empty and unable to offset a massive, highly expensive load spike later in the evening. Similarly, a static arbitrage heuristic may indiscriminately purchase grid power during the night to charge the battery, entirely failing to anticipate a bright, sunny day that could have charged the battery for free using clipped solar power, thereby destroying the potential economic savings. To completely outclass these baselines and achieve victory, an optimization framework with an embedded prediction horizon must be implemented.</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Mixed-Integer Linear Programming Formulation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dispatch scheduling of a battery is fundamentally an operations research problem that is optimally solved using Mixed-Integer Linear Programming (MILP). MILP allows for the exact mathematical representation of the physical constraints of the battery and the economic realities of the tariff structure. The modeling of these physical constraints requires the introduction of binary variables, rendering the problem non-convex and necessitating advanced solvers like Gurobi, CPLEX, the open-source COIN-OR Branch and Cut (CBC) solver, or the NAG Library MILP solver.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formulation defines an objective function across a discrete time horizon </w:t>
      </w:r>
      <w:r w:rsidDel="00000000" w:rsidR="00000000" w:rsidRPr="00000000">
        <w:rPr>
          <w:rFonts w:ascii="Google Sans" w:cs="Google Sans" w:eastAsia="Google Sans" w:hAnsi="Google Sans"/>
        </w:rPr>
        <w:drawing>
          <wp:inline distB="19050" distT="19050" distL="19050" distR="19050">
            <wp:extent cx="133350" cy="235324"/>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3350" cy="235324"/>
                    </a:xfrm>
                    <a:prstGeom prst="rect"/>
                    <a:ln/>
                  </pic:spPr>
                </pic:pic>
              </a:graphicData>
            </a:graphic>
          </wp:inline>
        </w:drawing>
      </w:r>
      <w:r w:rsidDel="00000000" w:rsidR="00000000" w:rsidRPr="00000000">
        <w:rPr>
          <w:rFonts w:ascii="Google Sans" w:cs="Google Sans" w:eastAsia="Google Sans" w:hAnsi="Google Sans"/>
          <w:rtl w:val="0"/>
        </w:rPr>
        <w:t xml:space="preserve"> (with 15-minute intervals, </w:t>
      </w:r>
      <w:r w:rsidDel="00000000" w:rsidR="00000000" w:rsidRPr="00000000">
        <w:rPr>
          <w:rFonts w:ascii="Google Sans" w:cs="Google Sans" w:eastAsia="Google Sans" w:hAnsi="Google Sans"/>
        </w:rPr>
        <w:drawing>
          <wp:inline distB="19050" distT="19050" distL="19050" distR="19050">
            <wp:extent cx="794226" cy="231328"/>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94226" cy="231328"/>
                    </a:xfrm>
                    <a:prstGeom prst="rect"/>
                    <a:ln/>
                  </pic:spPr>
                </pic:pic>
              </a:graphicData>
            </a:graphic>
          </wp:inline>
        </w:drawing>
      </w:r>
      <w:r w:rsidDel="00000000" w:rsidR="00000000" w:rsidRPr="00000000">
        <w:rPr>
          <w:rFonts w:ascii="Google Sans" w:cs="Google Sans" w:eastAsia="Google Sans" w:hAnsi="Google Sans"/>
          <w:rtl w:val="0"/>
        </w:rPr>
        <w:t xml:space="preserve"> hours). The explicit goal is to minimize the net cost of electricity imported from the grid, minus any revenue generated from exporting surplus power to the grid: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9512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69512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731361" cy="228550"/>
            <wp:effectExtent b="0" l="0" r="0" t="0"/>
            <wp:docPr id="15"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731361" cy="228550"/>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707548" cy="230722"/>
            <wp:effectExtent b="0" l="0" r="0" t="0"/>
            <wp:docPr id="1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707548" cy="230722"/>
                    </a:xfrm>
                    <a:prstGeom prst="rect"/>
                    <a:ln/>
                  </pic:spPr>
                </pic:pic>
              </a:graphicData>
            </a:graphic>
          </wp:inline>
        </w:drawing>
      </w:r>
      <w:r w:rsidDel="00000000" w:rsidR="00000000" w:rsidRPr="00000000">
        <w:rPr>
          <w:rFonts w:ascii="Google Sans" w:cs="Google Sans" w:eastAsia="Google Sans" w:hAnsi="Google Sans"/>
          <w:rtl w:val="0"/>
        </w:rPr>
        <w:t xml:space="preserve"> represent the continuous power variables for grid interaction, and </w:t>
      </w:r>
      <w:r w:rsidDel="00000000" w:rsidR="00000000" w:rsidRPr="00000000">
        <w:rPr>
          <w:rFonts w:ascii="Google Sans" w:cs="Google Sans" w:eastAsia="Google Sans" w:hAnsi="Google Sans"/>
        </w:rPr>
        <w:drawing>
          <wp:inline distB="19050" distT="19050" distL="19050" distR="19050">
            <wp:extent cx="548164" cy="228402"/>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164" cy="22840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551180" cy="229658"/>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1180" cy="229658"/>
                    </a:xfrm>
                    <a:prstGeom prst="rect"/>
                    <a:ln/>
                  </pic:spPr>
                </pic:pic>
              </a:graphicData>
            </a:graphic>
          </wp:inline>
        </w:drawing>
      </w:r>
      <w:r w:rsidDel="00000000" w:rsidR="00000000" w:rsidRPr="00000000">
        <w:rPr>
          <w:rFonts w:ascii="Google Sans" w:cs="Google Sans" w:eastAsia="Google Sans" w:hAnsi="Google Sans"/>
          <w:rtl w:val="0"/>
        </w:rPr>
        <w:t xml:space="preserve"> represent the dynamic price tariffs at time </w:t>
      </w:r>
      <w:r w:rsidDel="00000000" w:rsidR="00000000" w:rsidRPr="00000000">
        <w:rPr>
          <w:rFonts w:ascii="Google Sans" w:cs="Google Sans" w:eastAsia="Google Sans" w:hAnsi="Google Sans"/>
        </w:rPr>
        <w:drawing>
          <wp:inline distB="19050" distT="19050" distL="19050" distR="19050">
            <wp:extent cx="66516" cy="249436"/>
            <wp:effectExtent b="0" l="0" r="0" t="0"/>
            <wp:docPr id="2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6516" cy="24943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objective function must be strictly bound by the physical laws governing the battery energy storage system. The state of charge (SOC) evolution is mathematically defined as a dynamic energy balance: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92363"/>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5923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572135" cy="228854"/>
            <wp:effectExtent b="0" l="0" r="0" t="0"/>
            <wp:docPr id="2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2135" cy="228854"/>
                    </a:xfrm>
                    <a:prstGeom prst="rect"/>
                    <a:ln/>
                  </pic:spPr>
                </pic:pic>
              </a:graphicData>
            </a:graphic>
          </wp:inline>
        </w:drawing>
      </w:r>
      <w:r w:rsidDel="00000000" w:rsidR="00000000" w:rsidRPr="00000000">
        <w:rPr>
          <w:rFonts w:ascii="Google Sans" w:cs="Google Sans" w:eastAsia="Google Sans" w:hAnsi="Google Sans"/>
          <w:rtl w:val="0"/>
        </w:rPr>
        <w:t xml:space="preserve"> is the energy stored at time </w:t>
      </w:r>
      <w:r w:rsidDel="00000000" w:rsidR="00000000" w:rsidRPr="00000000">
        <w:rPr>
          <w:rFonts w:ascii="Google Sans" w:cs="Google Sans" w:eastAsia="Google Sans" w:hAnsi="Google Sans"/>
        </w:rPr>
        <w:drawing>
          <wp:inline distB="19050" distT="19050" distL="19050" distR="19050">
            <wp:extent cx="66516" cy="249436"/>
            <wp:effectExtent b="0" l="0" r="0" t="0"/>
            <wp:docPr id="2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6516" cy="24943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24376" cy="228750"/>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724376" cy="228750"/>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896462" cy="229862"/>
            <wp:effectExtent b="0" l="0" r="0" t="0"/>
            <wp:docPr id="2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896462" cy="229862"/>
                    </a:xfrm>
                    <a:prstGeom prst="rect"/>
                    <a:ln/>
                  </pic:spPr>
                </pic:pic>
              </a:graphicData>
            </a:graphic>
          </wp:inline>
        </w:drawing>
      </w:r>
      <w:r w:rsidDel="00000000" w:rsidR="00000000" w:rsidRPr="00000000">
        <w:rPr>
          <w:rFonts w:ascii="Google Sans" w:cs="Google Sans" w:eastAsia="Google Sans" w:hAnsi="Google Sans"/>
          <w:rtl w:val="0"/>
        </w:rPr>
        <w:t xml:space="preserve"> are the continuous power variables for the battery, and </w:t>
      </w:r>
      <w:r w:rsidDel="00000000" w:rsidR="00000000" w:rsidRPr="00000000">
        <w:rPr>
          <w:rFonts w:ascii="Google Sans" w:cs="Google Sans" w:eastAsia="Google Sans" w:hAnsi="Google Sans"/>
        </w:rPr>
        <w:drawing>
          <wp:inline distB="19050" distT="19050" distL="19050" distR="19050">
            <wp:extent cx="98425" cy="246062"/>
            <wp:effectExtent b="0" l="0" r="0" t="0"/>
            <wp:docPr id="2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98425" cy="246062"/>
                    </a:xfrm>
                    <a:prstGeom prst="rect"/>
                    <a:ln/>
                  </pic:spPr>
                </pic:pic>
              </a:graphicData>
            </a:graphic>
          </wp:inline>
        </w:drawing>
      </w:r>
      <w:r w:rsidDel="00000000" w:rsidR="00000000" w:rsidRPr="00000000">
        <w:rPr>
          <w:rFonts w:ascii="Google Sans" w:cs="Google Sans" w:eastAsia="Google Sans" w:hAnsi="Google Sans"/>
          <w:rtl w:val="0"/>
        </w:rPr>
        <w:t xml:space="preserve"> represents the respective conversion efficiencies. To account for the round-trip efficiency penalty, the charging efficiency is applied to the power entering the battery (reducing the actual energy stored), while the discharging efficiency inflates the power drawn from the battery to meet a specific load requirement.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optimization requires a specific boundary condition: the battery must begin the test periods with a 50% State of Charge. This is mathematically enforced as an equality constraint for the initial timestep: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3117"/>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05500" cy="42311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boundaries of the system are enforced via inequality constraints based on the battery capacity limits (</w:t>
      </w:r>
      <w:r w:rsidDel="00000000" w:rsidR="00000000" w:rsidRPr="00000000">
        <w:rPr>
          <w:rFonts w:ascii="Google Sans" w:cs="Google Sans" w:eastAsia="Google Sans" w:hAnsi="Google Sans"/>
        </w:rPr>
        <w:drawing>
          <wp:inline distB="19050" distT="19050" distL="19050" distR="19050">
            <wp:extent cx="718978" cy="231929"/>
            <wp:effectExtent b="0" l="0" r="0" t="0"/>
            <wp:docPr id="2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718978" cy="231929"/>
                    </a:xfrm>
                    <a:prstGeom prst="rect"/>
                    <a:ln/>
                  </pic:spPr>
                </pic:pic>
              </a:graphicData>
            </a:graphic>
          </wp:inline>
        </w:drawing>
      </w:r>
      <w:r w:rsidDel="00000000" w:rsidR="00000000" w:rsidRPr="00000000">
        <w:rPr>
          <w:rFonts w:ascii="Google Sans" w:cs="Google Sans" w:eastAsia="Google Sans" w:hAnsi="Google Sans"/>
          <w:rtl w:val="0"/>
        </w:rPr>
        <w:t xml:space="preserve"> kWh and </w:t>
      </w:r>
      <w:r w:rsidDel="00000000" w:rsidR="00000000" w:rsidRPr="00000000">
        <w:rPr>
          <w:rFonts w:ascii="Google Sans" w:cs="Google Sans" w:eastAsia="Google Sans" w:hAnsi="Google Sans"/>
        </w:rPr>
        <w:drawing>
          <wp:inline distB="19050" distT="19050" distL="19050" distR="19050">
            <wp:extent cx="831373" cy="230937"/>
            <wp:effectExtent b="0" l="0" r="0" t="0"/>
            <wp:docPr id="3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831373" cy="230937"/>
                    </a:xfrm>
                    <a:prstGeom prst="rect"/>
                    <a:ln/>
                  </pic:spPr>
                </pic:pic>
              </a:graphicData>
            </a:graphic>
          </wp:inline>
        </w:drawing>
      </w:r>
      <w:r w:rsidDel="00000000" w:rsidR="00000000" w:rsidRPr="00000000">
        <w:rPr>
          <w:rFonts w:ascii="Google Sans" w:cs="Google Sans" w:eastAsia="Google Sans" w:hAnsi="Google Sans"/>
          <w:rtl w:val="0"/>
        </w:rPr>
        <w:t xml:space="preserve"> kWh), the maximum battery inverter power ratings (</w:t>
      </w:r>
      <w:r w:rsidDel="00000000" w:rsidR="00000000" w:rsidRPr="00000000">
        <w:rPr>
          <w:rFonts w:ascii="Google Sans" w:cs="Google Sans" w:eastAsia="Google Sans" w:hAnsi="Google Sans"/>
        </w:rPr>
        <w:drawing>
          <wp:inline distB="19050" distT="19050" distL="19050" distR="19050">
            <wp:extent cx="1006316" cy="236332"/>
            <wp:effectExtent b="0" l="0" r="0" t="0"/>
            <wp:docPr id="3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006316" cy="236332"/>
                    </a:xfrm>
                    <a:prstGeom prst="rect"/>
                    <a:ln/>
                  </pic:spPr>
                </pic:pic>
              </a:graphicData>
            </a:graphic>
          </wp:inline>
        </w:drawing>
      </w:r>
      <w:r w:rsidDel="00000000" w:rsidR="00000000" w:rsidRPr="00000000">
        <w:rPr>
          <w:rFonts w:ascii="Google Sans" w:cs="Google Sans" w:eastAsia="Google Sans" w:hAnsi="Google Sans"/>
          <w:rtl w:val="0"/>
        </w:rPr>
        <w:t xml:space="preserve"> kW), and the physical grid connection limits (</w:t>
      </w:r>
      <w:r w:rsidDel="00000000" w:rsidR="00000000" w:rsidRPr="00000000">
        <w:rPr>
          <w:rFonts w:ascii="Google Sans" w:cs="Google Sans" w:eastAsia="Google Sans" w:hAnsi="Google Sans"/>
        </w:rPr>
        <w:drawing>
          <wp:inline distB="19050" distT="19050" distL="19050" distR="19050">
            <wp:extent cx="1029338" cy="236367"/>
            <wp:effectExtent b="0" l="0" r="0" t="0"/>
            <wp:docPr id="3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1029338" cy="236367"/>
                    </a:xfrm>
                    <a:prstGeom prst="rect"/>
                    <a:ln/>
                  </pic:spPr>
                </pic:pic>
              </a:graphicData>
            </a:graphic>
          </wp:inline>
        </w:drawing>
      </w:r>
      <w:r w:rsidDel="00000000" w:rsidR="00000000" w:rsidRPr="00000000">
        <w:rPr>
          <w:rFonts w:ascii="Google Sans" w:cs="Google Sans" w:eastAsia="Google Sans" w:hAnsi="Google Sans"/>
          <w:rtl w:val="0"/>
        </w:rPr>
        <w:t xml:space="preserve"> kW):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3117"/>
            <wp:effectExtent b="0" l="0" r="0" t="0"/>
            <wp:docPr id="3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05500" cy="42311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9161"/>
            <wp:effectExtent b="0" l="0" r="0" t="0"/>
            <wp:docPr id="1"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05500" cy="4291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9161"/>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05500" cy="42916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9161"/>
            <wp:effectExtent b="0" l="0" r="0" t="0"/>
            <wp:docPr id="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05500" cy="42916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29161"/>
            <wp:effectExtent b="0" l="0" r="0" t="0"/>
            <wp:docPr id="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05500" cy="42916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a battery cannot physically charge and discharge simultaneously. This non-linear physical reality is linearized using the mutually exclusive binary variables </w:t>
      </w:r>
      <w:r w:rsidDel="00000000" w:rsidR="00000000" w:rsidRPr="00000000">
        <w:rPr>
          <w:rFonts w:ascii="Google Sans" w:cs="Google Sans" w:eastAsia="Google Sans" w:hAnsi="Google Sans"/>
        </w:rPr>
        <w:drawing>
          <wp:inline distB="19050" distT="19050" distL="19050" distR="19050">
            <wp:extent cx="745967" cy="230711"/>
            <wp:effectExtent b="0" l="0" r="0" t="0"/>
            <wp:docPr id="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745967" cy="230711"/>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94647" cy="229997"/>
            <wp:effectExtent b="0" l="0" r="0" t="0"/>
            <wp:docPr id="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594647" cy="229997"/>
                    </a:xfrm>
                    <a:prstGeom prst="rect"/>
                    <a:ln/>
                  </pic:spPr>
                </pic:pic>
              </a:graphicData>
            </a:graphic>
          </wp:inline>
        </w:drawing>
      </w:r>
      <w:r w:rsidDel="00000000" w:rsidR="00000000" w:rsidRPr="00000000">
        <w:rPr>
          <w:rFonts w:ascii="Google Sans" w:cs="Google Sans" w:eastAsia="Google Sans" w:hAnsi="Google Sans"/>
          <w:rtl w:val="0"/>
        </w:rPr>
        <w:t xml:space="preserve">. The solver is forced to choose one operational state or remain idle: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23117"/>
            <wp:effectExtent b="0" l="0" r="0" t="0"/>
            <wp:docPr id="7"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05500" cy="4231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localized power balance equation ensures that at every 15-minute interval, Kirchhoff's laws are respected, and the demand is met exactly by the combination of solar generation, battery discharge, and grid imports, minus battery charging and grid exports: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23117"/>
            <wp:effectExtent b="0" l="0" r="0" t="0"/>
            <wp:docPr id="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05500" cy="42311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defining this system of equations within Python using optimization modeling languages such as Pyomo, PuLP, or CVXPY, the solver can assess the entire 24-hour day-ahead horizon simultaneously. With perfect foresight of the forecasted loads and dynamic prices, the MILP solver mathematically guarantees the discovery of the absolute global minimum cost, comprehensively defeating any reactive heuristic baseline that acts only on immediate conditions.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Predictive Control and Uncertainty Mitigation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a day-ahead MILP formulation generates the optimal mathematical schedule based on the forecasted data, the real-world operational environment is subjected to forecast errors. If a sudden, unpredicted cloud cover event drastically reduces solar generation, or an unexpected residential appliance is activated, a rigid day-ahead schedule will fail to adapt, resulting in unintended grid imports during peak pricing periods or lost optimization opportunities.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bridge the gap between predictive modeling and real-time execution, Model Predictive Control (MPC) is the definitive state-of-the-art methodology. MPC transforms the static MILP problem into a dynamic, receding horizon framework. At every 15-minute time step, the control architecture ingests the most recent sensor data regarding the actual battery state of charge, the actual residential load, and updated weather telemetry. The machine learning forecasting module then generates a new prediction for the subsequent 24 hours. The optimization solver calculates the optimal dispatch schedule over this new horizon, but only the control action for the immediate next 15-minute interval is physically executed.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continuous feedback loop provides exceptional robustness against stochastic disturbances. Even if the state-of-the-art LightGBM ensemble makes an error in forecasting a sudden load spike, the MPC architecture will detect the resulting discrepancy in the battery's state of charge during the next interval, instantly recalibrate the prediction horizon, and calculate a newly optimized trajectory to recover the economic position. The synthesis of Python-based Pyomo or CVXPY models within an MPC loop ensures that the storage system exhibits both long-term strategic arbitrage capabilities and short-term tactical resilience against uncertainty.</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Solship Hackathon Execution Playbook</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Based on the specific dataset characteristics and evaluation criteria established for the Solship hackathon, standard theoretical approaches must be refined into a highly specialized, competition-ready pipeline. The rules necessitate extreme precision across two distinct phases: a forecasting evaluation restricted to specific months (April and September 2025) and a "surprise" generalization task to an unseen residential site, culminating in a financial optimization objective to minimize the total electricity bill for these two months.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financial goal is to achieve a cost </w:t>
      </w:r>
      <w:r w:rsidDel="00000000" w:rsidR="00000000" w:rsidRPr="00000000">
        <w:rPr>
          <w:rFonts w:ascii="Google Sans" w:cs="Google Sans" w:eastAsia="Google Sans" w:hAnsi="Google Sans"/>
          <w:i w:val="1"/>
          <w:iCs w:val="1"/>
          <w:rtl w:val="0"/>
        </w:rPr>
        <w:t xml:space="preserve">lower</w:t>
      </w:r>
      <w:r w:rsidDel="00000000" w:rsidR="00000000" w:rsidRPr="00000000">
        <w:rPr>
          <w:rFonts w:ascii="Google Sans" w:cs="Google Sans" w:eastAsia="Google Sans" w:hAnsi="Google Sans"/>
          <w:rtl w:val="0"/>
        </w:rPr>
        <w:t xml:space="preserve"> than the Baseline A benchmark (which actually operates at a net profit of EUR -7.57 for the period) using a 16 kWh battery.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Data Processing and Feature Engineering Strategies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raw data requires immediate restructuring to prevent downstream leakage and ensure compatibility with the Day 2 generalization task.</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Handling Missing Values &amp; Anomalies:</w:t>
      </w:r>
      <w:r w:rsidDel="00000000" w:rsidR="00000000" w:rsidRPr="00000000">
        <w:rPr>
          <w:rFonts w:ascii="Google Sans" w:cs="Google Sans" w:eastAsia="Google Sans" w:hAnsi="Google Sans"/>
          <w:rtl w:val="0"/>
        </w:rPr>
        <w:t xml:space="preserve"> The 8 missing values in the sell_price column (likely corresponding to Daylight Saving Time shifts) should be corrected using forward-filling (ffill).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Due to confirmed anomalies in the 2025 battery sensor data leading to energy imbalances, the actual state of charge (SoC) must be mathematically reconstructed using the 16 kWh capacity constraint rather than relying purely on the raw p_battery_kw column.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Site-Agnostic Feature Engineering:</w:t>
      </w:r>
      <w:r w:rsidDel="00000000" w:rsidR="00000000" w:rsidRPr="00000000">
        <w:rPr>
          <w:rFonts w:ascii="Google Sans" w:cs="Google Sans" w:eastAsia="Google Sans" w:hAnsi="Google Sans"/>
          <w:rtl w:val="0"/>
        </w:rPr>
        <w:t xml:space="preserve"> Because Day 2 requires evaluating the model on a completely new, unseen residential site in Sondrio without retraining, the feature space must be rigorously scrubbed of any variables that overfit to the 2024 household.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generalization capability is critical, as the Day 2 unseen site NRMSE score carries a weight of 25 points, equal to the primary 2025 forecasting score.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Do not use</w:t>
      </w:r>
      <w:r w:rsidDel="00000000" w:rsidR="00000000" w:rsidRPr="00000000">
        <w:rPr>
          <w:rFonts w:ascii="Google Sans" w:cs="Google Sans" w:eastAsia="Google Sans" w:hAnsi="Google Sans"/>
          <w:rtl w:val="0"/>
        </w:rPr>
        <w:t xml:space="preserve"> p_battery_kw or grid_kw as forecasting inputs, as these will not be available for the new site.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Temporal Encodings:</w:t>
      </w:r>
      <w:r w:rsidDel="00000000" w:rsidR="00000000" w:rsidRPr="00000000">
        <w:rPr>
          <w:rFonts w:ascii="Google Sans" w:cs="Google Sans" w:eastAsia="Google Sans" w:hAnsi="Google Sans"/>
          <w:rtl w:val="0"/>
        </w:rPr>
        <w:t xml:space="preserve"> Transform timestamps using Fourier terms (sine and cosine waves for 24h, 12h, and 8h cycles) to help the model learn universal diurnal rhythms rather than memorizing exact time steps.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Lag Construction:</w:t>
      </w:r>
      <w:r w:rsidDel="00000000" w:rsidR="00000000" w:rsidRPr="00000000">
        <w:rPr>
          <w:rFonts w:ascii="Google Sans" w:cs="Google Sans" w:eastAsia="Google Sans" w:hAnsi="Google Sans"/>
          <w:rtl w:val="0"/>
        </w:rPr>
        <w:t xml:space="preserve"> Extract robust lags specifically at t-96 (the exact same 15-minute interval the previous day) and t-672 (the exact interval one week prior).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autocorrelation is exceptionally high at these intervals (</w:t>
      </w:r>
      <w:r w:rsidDel="00000000" w:rsidR="00000000" w:rsidRPr="00000000">
        <w:rPr>
          <w:rFonts w:ascii="Google Sans" w:cs="Google Sans" w:eastAsia="Google Sans" w:hAnsi="Google Sans"/>
        </w:rPr>
        <w:drawing>
          <wp:inline distB="19050" distT="19050" distL="19050" distR="19050">
            <wp:extent cx="143510" cy="223238"/>
            <wp:effectExtent b="0" l="0" r="0" t="0"/>
            <wp:docPr id="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43510" cy="223238"/>
                    </a:xfrm>
                    <a:prstGeom prst="rect"/>
                    <a:ln/>
                  </pic:spPr>
                </pic:pic>
              </a:graphicData>
            </a:graphic>
          </wp:inline>
        </w:drawing>
      </w:r>
      <w:r w:rsidDel="00000000" w:rsidR="00000000" w:rsidRPr="00000000">
        <w:rPr>
          <w:rFonts w:ascii="Google Sans" w:cs="Google Sans" w:eastAsia="Google Sans" w:hAnsi="Google Sans"/>
          <w:rtl w:val="0"/>
        </w:rPr>
        <w:t xml:space="preserve">0.81 at lag 1, </w:t>
      </w:r>
      <w:r w:rsidDel="00000000" w:rsidR="00000000" w:rsidRPr="00000000">
        <w:rPr>
          <w:rFonts w:ascii="Google Sans" w:cs="Google Sans" w:eastAsia="Google Sans" w:hAnsi="Google Sans"/>
        </w:rPr>
        <w:drawing>
          <wp:inline distB="19050" distT="19050" distL="19050" distR="19050">
            <wp:extent cx="143510" cy="223238"/>
            <wp:effectExtent b="0" l="0" r="0" t="0"/>
            <wp:docPr id="1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43510" cy="223238"/>
                    </a:xfrm>
                    <a:prstGeom prst="rect"/>
                    <a:ln/>
                  </pic:spPr>
                </pic:pic>
              </a:graphicData>
            </a:graphic>
          </wp:inline>
        </w:drawing>
      </w:r>
      <w:r w:rsidDel="00000000" w:rsidR="00000000" w:rsidRPr="00000000">
        <w:rPr>
          <w:rFonts w:ascii="Google Sans" w:cs="Google Sans" w:eastAsia="Google Sans" w:hAnsi="Google Sans"/>
          <w:rtl w:val="0"/>
        </w:rPr>
        <w:t xml:space="preserve">0.48 at lag 96), they form the backbone of the predictive signal.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Categorical Context:</w:t>
      </w:r>
      <w:r w:rsidDel="00000000" w:rsidR="00000000" w:rsidRPr="00000000">
        <w:rPr>
          <w:rFonts w:ascii="Google Sans" w:cs="Google Sans" w:eastAsia="Google Sans" w:hAnsi="Google Sans"/>
          <w:rtl w:val="0"/>
        </w:rPr>
        <w:t xml:space="preserve"> Include the derived tariff_band (F1, F2, F3) and an is_holiday flag mapping exact Italian national holidays, being sure to map June 19th as the local Sondrio holiday rather than generic Milan holidays.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Generalizable Forecasting Architectures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forecasting models must minimize Normalized Root Mean Square Error (NRMSE), which is heavily penalized by large outlier mistakes.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Algorithm Selection:</w:t>
      </w:r>
      <w:r w:rsidDel="00000000" w:rsidR="00000000" w:rsidRPr="00000000">
        <w:rPr>
          <w:rFonts w:ascii="Google Sans" w:cs="Google Sans" w:eastAsia="Google Sans" w:hAnsi="Google Sans"/>
          <w:rtl w:val="0"/>
        </w:rPr>
        <w:t xml:space="preserve"> Pair an extreme gradient boosting ensemble (XGBoost and LightGBM) with a deep learning baseline (like an LSTM). LightGBM handles the tabular time-series with blistering speed, while XGBoost prevents the overfitting that would ruin the Day 2 unseen site score.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Strict Evaluation Protocol:</w:t>
      </w:r>
      <w:r w:rsidDel="00000000" w:rsidR="00000000" w:rsidRPr="00000000">
        <w:rPr>
          <w:rFonts w:ascii="Google Sans" w:cs="Google Sans" w:eastAsia="Google Sans" w:hAnsi="Google Sans"/>
          <w:rtl w:val="0"/>
        </w:rPr>
        <w:t xml:space="preserve"> Because the use of 2025 data for training is expressly forbidden, your training dataset must strictly terminate on December 31, 2024.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cross-validation across the whole dataset will result in disqualification or catastrophic overfitting. It is highly recommended to use a proxy validation approach: train on 10 months of 2024, and use April 2024 and September 2024 as your hold-out validation sets.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directly mirrors the exact seasonal conditions of the target test months (April and September 2025) while strictly avoiding data leakage.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Prescriptive Analytics: The Optimization Hack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controller must beat the existing on-site physical controller (Baseline A) and outsmart Baseline B (which generates a bill of EUR +68.74) over the designated test months of April and September 2025.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Crucially, Baseline A is already highly efficient and operates as a net earner, yielding a combined bill of EUR -7.57.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objective is to squeeze out additional arbitrage margins to achieve an even </w:t>
      </w:r>
      <w:r w:rsidDel="00000000" w:rsidR="00000000" w:rsidRPr="00000000">
        <w:rPr>
          <w:rFonts w:ascii="Google Sans" w:cs="Google Sans" w:eastAsia="Google Sans" w:hAnsi="Google Sans"/>
          <w:i w:val="1"/>
          <w:iCs w:val="1"/>
          <w:rtl w:val="0"/>
        </w:rPr>
        <w:t xml:space="preserve">more negative</w:t>
      </w:r>
      <w:r w:rsidDel="00000000" w:rsidR="00000000" w:rsidRPr="00000000">
        <w:rPr>
          <w:rFonts w:ascii="Google Sans" w:cs="Google Sans" w:eastAsia="Google Sans" w:hAnsi="Google Sans"/>
          <w:rtl w:val="0"/>
        </w:rPr>
        <w:t xml:space="preserve"> bill.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Enforcing Physical Constraints:</w:t>
      </w:r>
      <w:r w:rsidDel="00000000" w:rsidR="00000000" w:rsidRPr="00000000">
        <w:rPr>
          <w:rFonts w:ascii="Google Sans" w:cs="Google Sans" w:eastAsia="Google Sans" w:hAnsi="Google Sans"/>
          <w:rtl w:val="0"/>
        </w:rPr>
        <w:t xml:space="preserve"> The optimization must strictly adhere to the 16 kWh battery capacity, the </w:t>
      </w:r>
      <w:r w:rsidDel="00000000" w:rsidR="00000000" w:rsidRPr="00000000">
        <w:rPr>
          <w:rFonts w:ascii="Google Sans" w:cs="Google Sans" w:eastAsia="Google Sans" w:hAnsi="Google Sans"/>
        </w:rPr>
        <w:drawing>
          <wp:inline distB="19050" distT="19050" distL="19050" distR="19050">
            <wp:extent cx="143510" cy="223238"/>
            <wp:effectExtent b="0" l="0" r="0" t="0"/>
            <wp:docPr id="1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43510" cy="223238"/>
                    </a:xfrm>
                    <a:prstGeom prst="rect"/>
                    <a:ln/>
                  </pic:spPr>
                </pic:pic>
              </a:graphicData>
            </a:graphic>
          </wp:inline>
        </w:drawing>
      </w:r>
      <w:r w:rsidDel="00000000" w:rsidR="00000000" w:rsidRPr="00000000">
        <w:rPr>
          <w:rFonts w:ascii="Google Sans" w:cs="Google Sans" w:eastAsia="Google Sans" w:hAnsi="Google Sans"/>
          <w:rtl w:val="0"/>
        </w:rPr>
        <w:t xml:space="preserve"> 8 kW battery inverter limits, the </w:t>
      </w:r>
      <w:r w:rsidDel="00000000" w:rsidR="00000000" w:rsidRPr="00000000">
        <w:rPr>
          <w:rFonts w:ascii="Google Sans" w:cs="Google Sans" w:eastAsia="Google Sans" w:hAnsi="Google Sans"/>
        </w:rPr>
        <w:drawing>
          <wp:inline distB="19050" distT="19050" distL="19050" distR="19050">
            <wp:extent cx="143510" cy="223238"/>
            <wp:effectExtent b="0" l="0" r="0" t="0"/>
            <wp:docPr id="20"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43510" cy="223238"/>
                    </a:xfrm>
                    <a:prstGeom prst="rect"/>
                    <a:ln/>
                  </pic:spPr>
                </pic:pic>
              </a:graphicData>
            </a:graphic>
          </wp:inline>
        </w:drawing>
      </w:r>
      <w:r w:rsidDel="00000000" w:rsidR="00000000" w:rsidRPr="00000000">
        <w:rPr>
          <w:rFonts w:ascii="Google Sans" w:cs="Google Sans" w:eastAsia="Google Sans" w:hAnsi="Google Sans"/>
          <w:rtl w:val="0"/>
        </w:rPr>
        <w:t xml:space="preserve"> 6 kW grid connection limits, and a round-trip efficiency of 90% (</w:t>
      </w:r>
      <w:r w:rsidDel="00000000" w:rsidR="00000000" w:rsidRPr="00000000">
        <w:rPr>
          <w:rFonts w:ascii="Google Sans" w:cs="Google Sans" w:eastAsia="Google Sans" w:hAnsi="Google Sans"/>
        </w:rPr>
        <w:drawing>
          <wp:inline distB="19050" distT="19050" distL="19050" distR="19050">
            <wp:extent cx="1240155" cy="214348"/>
            <wp:effectExtent b="0" l="0" r="0" t="0"/>
            <wp:docPr id="2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240155" cy="214348"/>
                    </a:xfrm>
                    <a:prstGeom prst="rect"/>
                    <a:ln/>
                  </pic:spPr>
                </pic:pic>
              </a:graphicData>
            </a:graphic>
          </wp:inline>
        </w:drawing>
      </w:r>
      <w:r w:rsidDel="00000000" w:rsidR="00000000" w:rsidRPr="00000000">
        <w:rPr>
          <w:rFonts w:ascii="Google Sans" w:cs="Google Sans" w:eastAsia="Google Sans" w:hAnsi="Google Sans"/>
          <w:rtl w:val="0"/>
        </w:rPr>
        <w:t xml:space="preserve"> per charge/discharge direction).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Enforcing the Baseline State:</w:t>
      </w:r>
      <w:r w:rsidDel="00000000" w:rsidR="00000000" w:rsidRPr="00000000">
        <w:rPr>
          <w:rFonts w:ascii="Google Sans" w:cs="Google Sans" w:eastAsia="Google Sans" w:hAnsi="Google Sans"/>
          <w:rtl w:val="0"/>
        </w:rPr>
        <w:t xml:space="preserve"> Hardcode the optimization engine to initialize the battery at exactly 50% State of Charge (8 kWh) at the start of both April 1st, 2025 and September 1st, 2025 to meet the organizer's exact specifications.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Linear Programming (LP) Speed Hack:</w:t>
      </w:r>
      <w:r w:rsidDel="00000000" w:rsidR="00000000" w:rsidRPr="00000000">
        <w:rPr>
          <w:rFonts w:ascii="Google Sans" w:cs="Google Sans" w:eastAsia="Google Sans" w:hAnsi="Google Sans"/>
          <w:rtl w:val="0"/>
        </w:rPr>
        <w:t xml:space="preserve"> While energy storage dispatch is technically a MILP problem, you can mathematically bypass the integer restriction. Because the round-trip efficiency is less than 100%, the solver naturally views simultaneous charging and discharging as an economic loss. By dropping the binary variables, the complex MILP collapses into a simple, convex Linear Program (LP).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the use of lightning-fast solvers (like SciPy's HiGHS or PuLP's CBC) that can execute a receding horizon MPC loop across test horizons (1h, 6h, and 24h) in seconds.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Exploiting the F2 Tariff Trap:</w:t>
      </w:r>
      <w:r w:rsidDel="00000000" w:rsidR="00000000" w:rsidRPr="00000000">
        <w:rPr>
          <w:rFonts w:ascii="Google Sans" w:cs="Google Sans" w:eastAsia="Google Sans" w:hAnsi="Google Sans"/>
          <w:rtl w:val="0"/>
        </w:rPr>
        <w:t xml:space="preserve"> The F2 "shoulder" band (0.2682 €/kWh)—which covers early mornings, evenings, and Saturdays—is actually </w:t>
      </w:r>
      <w:r w:rsidDel="00000000" w:rsidR="00000000" w:rsidRPr="00000000">
        <w:rPr>
          <w:rFonts w:ascii="Google Sans" w:cs="Google Sans" w:eastAsia="Google Sans" w:hAnsi="Google Sans"/>
          <w:i w:val="1"/>
          <w:iCs w:val="1"/>
          <w:rtl w:val="0"/>
        </w:rPr>
        <w:t xml:space="preserve">more expensive</w:t>
      </w:r>
      <w:r w:rsidDel="00000000" w:rsidR="00000000" w:rsidRPr="00000000">
        <w:rPr>
          <w:rFonts w:ascii="Google Sans" w:cs="Google Sans" w:eastAsia="Google Sans" w:hAnsi="Google Sans"/>
          <w:rtl w:val="0"/>
        </w:rPr>
        <w:t xml:space="preserve"> than the F1 daytime peak (0.2540 €/kWh).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winning controller will proactively store excess midday PV (or charge from the grid during F3 nights if the next day is forecasted to be cloudy) specifically to blanket the highly expensive 19:00–23:00 F2 evening window.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foresight is mathematically impossible for the reactive Baseline A to achieve, guaranteeing the necessary victory margin.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eda_report.txt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17.png"/><Relationship Id="rId21" Type="http://schemas.openxmlformats.org/officeDocument/2006/relationships/image" Target="media/image25.png"/><Relationship Id="rId24" Type="http://schemas.openxmlformats.org/officeDocument/2006/relationships/image" Target="media/image23.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6.png"/><Relationship Id="rId25" Type="http://schemas.openxmlformats.org/officeDocument/2006/relationships/image" Target="media/image30.png"/><Relationship Id="rId28" Type="http://schemas.openxmlformats.org/officeDocument/2006/relationships/image" Target="media/image2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image" Target="media/image15.png"/><Relationship Id="rId30" Type="http://schemas.openxmlformats.org/officeDocument/2006/relationships/image" Target="media/image22.png"/><Relationship Id="rId11" Type="http://schemas.openxmlformats.org/officeDocument/2006/relationships/image" Target="media/image7.png"/><Relationship Id="rId33" Type="http://schemas.openxmlformats.org/officeDocument/2006/relationships/image" Target="media/image1.png"/><Relationship Id="rId10" Type="http://schemas.openxmlformats.org/officeDocument/2006/relationships/image" Target="media/image20.png"/><Relationship Id="rId32" Type="http://schemas.openxmlformats.org/officeDocument/2006/relationships/image" Target="media/image18.png"/><Relationship Id="rId13" Type="http://schemas.openxmlformats.org/officeDocument/2006/relationships/image" Target="media/image10.png"/><Relationship Id="rId35" Type="http://schemas.openxmlformats.org/officeDocument/2006/relationships/image" Target="media/image12.png"/><Relationship Id="rId12" Type="http://schemas.openxmlformats.org/officeDocument/2006/relationships/image" Target="media/image8.png"/><Relationship Id="rId34"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3.png"/><Relationship Id="rId17" Type="http://schemas.openxmlformats.org/officeDocument/2006/relationships/image" Target="media/image21.png"/><Relationship Id="rId16" Type="http://schemas.openxmlformats.org/officeDocument/2006/relationships/image" Target="media/image16.png"/><Relationship Id="rId19" Type="http://schemas.openxmlformats.org/officeDocument/2006/relationships/image" Target="media/image2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