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sz w:val="22"/>
          <w:szCs w:val="22"/>
        </w:rPr>
        <w:t xml:space="preserve"/>
      </w:r>
    </w:p>
    <w:p>
      <w:pPr>
        <w:spacing w:after="200" w:before="0"/>
        <w:jc w:val="center"/>
      </w:pPr>
      <w:r>
        <w:rPr>
          <w:rFonts w:ascii="Arial" w:cs="Arial" w:eastAsia="Arial" w:hAnsi="Arial"/>
          <w:b/>
          <w:bCs/>
          <w:color w:val="1F3864"/>
          <w:sz w:val="52"/>
          <w:szCs w:val="52"/>
        </w:rPr>
        <w:t xml:space="preserve">Law Database Enrichment Project</w:t>
      </w:r>
    </w:p>
    <w:p>
      <w:pPr>
        <w:spacing w:after="400" w:before="0"/>
        <w:jc w:val="center"/>
      </w:pPr>
      <w:r>
        <w:rPr>
          <w:rFonts w:ascii="Arial" w:cs="Arial" w:eastAsia="Arial" w:hAnsi="Arial"/>
          <w:color w:val="2E75B6"/>
          <w:sz w:val="30"/>
          <w:szCs w:val="30"/>
        </w:rPr>
        <w:t xml:space="preserve">Technical &amp; Executive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r>
      <w:tr>
        <w:tc>
          <w:tcPr>
            <w:tcW w:type="dxa" w:w="312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Prepared by</w:t>
            </w:r>
          </w:p>
        </w:tc>
        <w:tc>
          <w:tcPr>
            <w:tcW w:type="dxa" w:w="624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Data Engineering Team</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Date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05 May 2026</w:t>
            </w:r>
          </w:p>
        </w:tc>
      </w:tr>
      <w:tr>
        <w:tc>
          <w:tcPr>
            <w:tcW w:type="dxa" w:w="312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Status</w:t>
            </w:r>
          </w:p>
        </w:tc>
        <w:tc>
          <w:tcPr>
            <w:tcW w:type="dxa" w:w="624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bCs/>
                <w:sz w:val="20"/>
                <w:szCs w:val="20"/>
              </w:rPr>
              <w:t xml:space="preserve">✅ Completed — 99.8% Resolution Rate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Classification</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Internal</w:t>
            </w:r>
          </w:p>
        </w:tc>
      </w:tr>
    </w:tbl>
    <w:p>
      <w:pPr>
        <w:spacing w:after="240" w:before="0"/>
      </w:pPr>
      <w:r>
        <w:rPr>
          <w:sz w:val="22"/>
          <w:szCs w:val="22"/>
        </w:rPr>
        <w:t xml:space="preserve"/>
      </w:r>
    </w:p>
    <w:p>
      <w:r>
        <w:br w:type="page"/>
      </w:r>
    </w:p>
    <w:p>
      <w:pPr>
        <w:pStyle w:val="Heading1"/>
        <w:spacing w:after="160" w:before="320"/>
      </w:pPr>
      <w:r>
        <w:rPr>
          <w:rFonts w:ascii="Arial" w:cs="Arial" w:eastAsia="Arial" w:hAnsi="Arial"/>
          <w:b/>
          <w:bCs/>
          <w:color w:val="1F3864"/>
          <w:sz w:val="32"/>
          <w:szCs w:val="32"/>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r>
              <w:rPr>
                <w:rFonts w:ascii="Arial" w:cs="Arial" w:eastAsia="Arial" w:hAnsi="Arial"/>
                <w:b w:val="false"/>
                <w:bCs w:val="false"/>
                <w:color w:val="000000"/>
                <w:sz w:val="22"/>
                <w:szCs w:val="22"/>
              </w:rPr>
              <w:t xml:space="preserve">In plain language: Our law database had thousands of records with missing information. We built an intelligent system that automatically found and filled in that missing information by cross-referencing three separate data sources. The result: 99.8% of all records are now complete.</w:t>
            </w:r>
          </w:p>
        </w:tc>
      </w:tr>
    </w:tbl>
    <w:p>
      <w:pPr>
        <w:spacing w:after="120" w:before="0"/>
      </w:pPr>
      <w:r>
        <w:rPr>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This report documents the design, execution, and results of a data enrichment pipeline built to improve the completeness and accuracy of the legal legislation database.</w:t>
      </w: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5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Total records in database</w:t>
            </w:r>
          </w:p>
        </w:tc>
        <w:tc>
          <w:tcPr>
            <w:tcW w:type="dxa" w:w="41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3,542</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Records successfully enriched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3,534  (99.8%)</w:t>
            </w:r>
          </w:p>
        </w:tc>
      </w:tr>
      <w:tr>
        <w:tc>
          <w:tcPr>
            <w:tcW w:type="dxa" w:w="5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Individual data fields filled in</w:t>
            </w:r>
          </w:p>
        </w:tc>
        <w:tc>
          <w:tcPr>
            <w:tcW w:type="dxa" w:w="41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2,226</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Database rows that will be updated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1,616</w:t>
            </w:r>
          </w:p>
        </w:tc>
      </w:tr>
      <w:tr>
        <w:tc>
          <w:tcPr>
            <w:tcW w:type="dxa" w:w="5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Records requiring manual review</w:t>
            </w:r>
          </w:p>
        </w:tc>
        <w:tc>
          <w:tcPr>
            <w:tcW w:type="dxa" w:w="41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8  (0.2%)</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Data sources used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3 files</w:t>
            </w:r>
          </w:p>
        </w:tc>
      </w:tr>
      <w:tr>
        <w:tc>
          <w:tcPr>
            <w:tcW w:type="dxa" w:w="5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Matching techniques applied</w:t>
            </w:r>
          </w:p>
        </w:tc>
        <w:tc>
          <w:tcPr>
            <w:tcW w:type="dxa" w:w="41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5 layers</w:t>
            </w:r>
          </w:p>
        </w:tc>
      </w:tr>
    </w:tbl>
    <w:p>
      <w:r>
        <w:br w:type="page"/>
      </w:r>
    </w:p>
    <w:p>
      <w:pPr>
        <w:pStyle w:val="Heading1"/>
        <w:spacing w:after="160" w:before="320"/>
      </w:pPr>
      <w:r>
        <w:rPr>
          <w:rFonts w:ascii="Arial" w:cs="Arial" w:eastAsia="Arial" w:hAnsi="Arial"/>
          <w:b/>
          <w:bCs/>
          <w:color w:val="1F3864"/>
          <w:sz w:val="32"/>
          <w:szCs w:val="32"/>
        </w:rPr>
        <w:t xml:space="preserve">2. The Problem</w:t>
      </w:r>
    </w:p>
    <w:p>
      <w:pPr>
        <w:pStyle w:val="Heading2"/>
        <w:spacing w:after="120" w:before="240"/>
      </w:pPr>
      <w:r>
        <w:rPr>
          <w:rFonts w:ascii="Arial" w:cs="Arial" w:eastAsia="Arial" w:hAnsi="Arial"/>
          <w:b/>
          <w:bCs/>
          <w:color w:val="2E75B6"/>
          <w:sz w:val="26"/>
          <w:szCs w:val="26"/>
        </w:rPr>
        <w:t xml:space="preserve">2.1  What Was Wrong</w:t>
      </w:r>
    </w:p>
    <w:p>
      <w:pPr>
        <w:spacing w:after="60" w:before="60"/>
        <w:jc w:val="left"/>
      </w:pPr>
      <w:r>
        <w:rPr>
          <w:rFonts w:ascii="Arial" w:cs="Arial" w:eastAsia="Arial" w:hAnsi="Arial"/>
          <w:b w:val="false"/>
          <w:bCs w:val="false"/>
          <w:i w:val="false"/>
          <w:iCs w:val="false"/>
          <w:color w:val="000000"/>
          <w:sz w:val="22"/>
          <w:szCs w:val="22"/>
        </w:rPr>
        <w:t xml:space="preserve">The primary legislation table (law_merged_output_V2) contained 3,542 law records, many of which had critical fields left empty. These gaps meant that searches, reports, and legal references built on this database returned incomplete or misleading results.</w:t>
      </w: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rPr>
          <w:tblHeader/>
        </w:trP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Empty Records</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Incomplete</w:t>
            </w:r>
          </w:p>
        </w:tc>
      </w:tr>
      <w:tr>
        <w:tc>
          <w:tcPr>
            <w:tcW w:type="dxa" w:w="40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Active_Date (law effective date)</w:t>
            </w:r>
          </w:p>
        </w:tc>
        <w:tc>
          <w:tcPr>
            <w:tcW w:type="dxa" w:w="30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1,439</w:t>
            </w:r>
          </w:p>
        </w:tc>
        <w:tc>
          <w:tcPr>
            <w:tcW w:type="dxa" w:w="23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40.6%</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Replaced_For (superseded laws)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3,516</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99.3%</w:t>
            </w:r>
          </w:p>
        </w:tc>
      </w:tr>
      <w:tr>
        <w:tc>
          <w:tcPr>
            <w:tcW w:type="dxa" w:w="40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Magazine_Number (gazette ref.)</w:t>
            </w:r>
          </w:p>
        </w:tc>
        <w:tc>
          <w:tcPr>
            <w:tcW w:type="dxa" w:w="30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140</w:t>
            </w:r>
          </w:p>
        </w:tc>
        <w:tc>
          <w:tcPr>
            <w:tcW w:type="dxa" w:w="23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4.0%</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Magazine_Date (gazette date)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151</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4.3%</w:t>
            </w:r>
          </w:p>
        </w:tc>
      </w:tr>
      <w:tr>
        <w:tc>
          <w:tcPr>
            <w:tcW w:type="dxa" w:w="40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Magazine_Page_Number</w:t>
            </w:r>
          </w:p>
        </w:tc>
        <w:tc>
          <w:tcPr>
            <w:tcW w:type="dxa" w:w="30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64</w:t>
            </w:r>
          </w:p>
        </w:tc>
        <w:tc>
          <w:tcPr>
            <w:tcW w:type="dxa" w:w="23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1.8%</w:t>
            </w:r>
          </w:p>
        </w:tc>
      </w:tr>
    </w:tbl>
    <w:p>
      <w:pPr>
        <w:spacing w:after="12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2.2  Why This Mattered</w:t>
      </w:r>
    </w:p>
    <w:p>
      <w:pPr>
        <w:pStyle w:val="ListParagraph"/>
        <w:numPr>
          <w:ilvl w:val="0"/>
          <w:numId w:val="2"/>
        </w:numPr>
        <w:spacing w:after="40" w:before="40"/>
      </w:pPr>
      <w:r>
        <w:rPr>
          <w:rFonts w:ascii="Arial" w:cs="Arial" w:eastAsia="Arial" w:hAnsi="Arial"/>
          <w:sz w:val="22"/>
          <w:szCs w:val="22"/>
        </w:rPr>
        <w:t xml:space="preserve">Legal staff could not reliably trace when a law became effective</w:t>
      </w:r>
    </w:p>
    <w:p>
      <w:pPr>
        <w:pStyle w:val="ListParagraph"/>
        <w:numPr>
          <w:ilvl w:val="0"/>
          <w:numId w:val="2"/>
        </w:numPr>
        <w:spacing w:after="40" w:before="40"/>
      </w:pPr>
      <w:r>
        <w:rPr>
          <w:rFonts w:ascii="Arial" w:cs="Arial" w:eastAsia="Arial" w:hAnsi="Arial"/>
          <w:sz w:val="22"/>
          <w:szCs w:val="22"/>
        </w:rPr>
        <w:t xml:space="preserve">Automated reports on superseded legislation were missing ~99% of data</w:t>
      </w:r>
    </w:p>
    <w:p>
      <w:pPr>
        <w:pStyle w:val="ListParagraph"/>
        <w:numPr>
          <w:ilvl w:val="0"/>
          <w:numId w:val="2"/>
        </w:numPr>
        <w:spacing w:after="40" w:before="40"/>
      </w:pPr>
      <w:r>
        <w:rPr>
          <w:rFonts w:ascii="Arial" w:cs="Arial" w:eastAsia="Arial" w:hAnsi="Arial"/>
          <w:sz w:val="22"/>
          <w:szCs w:val="22"/>
        </w:rPr>
        <w:t xml:space="preserve">Gazette cross-referencing required manual lookup for hundreds of records</w:t>
      </w:r>
    </w:p>
    <w:p>
      <w:pPr>
        <w:pStyle w:val="ListParagraph"/>
        <w:numPr>
          <w:ilvl w:val="0"/>
          <w:numId w:val="2"/>
        </w:numPr>
        <w:spacing w:after="40" w:before="40"/>
      </w:pPr>
      <w:r>
        <w:rPr>
          <w:rFonts w:ascii="Arial" w:cs="Arial" w:eastAsia="Arial" w:hAnsi="Arial"/>
          <w:sz w:val="22"/>
          <w:szCs w:val="22"/>
        </w:rPr>
        <w:t xml:space="preserve">Data quality issues undermined trust in the system as an authoritative source</w:t>
      </w:r>
    </w:p>
    <w:p>
      <w:r>
        <w:br w:type="page"/>
      </w:r>
    </w:p>
    <w:p>
      <w:pPr>
        <w:pStyle w:val="Heading1"/>
        <w:spacing w:after="160" w:before="320"/>
      </w:pPr>
      <w:r>
        <w:rPr>
          <w:rFonts w:ascii="Arial" w:cs="Arial" w:eastAsia="Arial" w:hAnsi="Arial"/>
          <w:b/>
          <w:bCs/>
          <w:color w:val="1F3864"/>
          <w:sz w:val="32"/>
          <w:szCs w:val="32"/>
        </w:rPr>
        <w:t xml:space="preserve">3. Our Approach</w:t>
      </w:r>
    </w:p>
    <w:p>
      <w:pPr>
        <w:pStyle w:val="Heading2"/>
        <w:spacing w:after="120" w:before="240"/>
      </w:pPr>
      <w:r>
        <w:rPr>
          <w:rFonts w:ascii="Arial" w:cs="Arial" w:eastAsia="Arial" w:hAnsi="Arial"/>
          <w:b/>
          <w:bCs/>
          <w:color w:val="2E75B6"/>
          <w:sz w:val="26"/>
          <w:szCs w:val="26"/>
        </w:rPr>
        <w:t xml:space="preserve">3.1  Data Sources</w:t>
      </w:r>
    </w:p>
    <w:p>
      <w:pPr>
        <w:spacing w:after="60" w:before="60"/>
        <w:jc w:val="left"/>
      </w:pPr>
      <w:r>
        <w:rPr>
          <w:rFonts w:ascii="Arial" w:cs="Arial" w:eastAsia="Arial" w:hAnsi="Arial"/>
          <w:b w:val="false"/>
          <w:bCs w:val="false"/>
          <w:i w:val="false"/>
          <w:iCs w:val="false"/>
          <w:color w:val="000000"/>
          <w:sz w:val="22"/>
          <w:szCs w:val="22"/>
        </w:rPr>
        <w:t xml:space="preserve">We identified and used three data files to resolve the missing information:</w:t>
      </w: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360"/>
        <w:gridCol w:w="150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Records</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law_merged_output_V2.xlsx</w:t>
            </w:r>
          </w:p>
        </w:tc>
        <w:tc>
          <w:tcPr>
            <w:tcW w:type="dxa" w:w="43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Primary LOB database — the file we are enriching</w:t>
            </w:r>
          </w:p>
        </w:tc>
        <w:tc>
          <w:tcPr>
            <w:tcW w:type="dxa" w:w="1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3,542</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cleaned_v03_merged_updated.xlsx</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Enhanced legislation dataset with additional metadata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4,701</w:t>
            </w:r>
          </w:p>
        </w:tc>
      </w:tr>
      <w:tr>
        <w:tc>
          <w:tcPr>
            <w:tcW w:type="dxa" w:w="3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amendment_4_5_2026.csv</w:t>
            </w:r>
          </w:p>
        </w:tc>
        <w:tc>
          <w:tcPr>
            <w:tcW w:type="dxa" w:w="43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Amendments register linked via LobID foreign key</w:t>
            </w:r>
          </w:p>
        </w:tc>
        <w:tc>
          <w:tcPr>
            <w:tcW w:type="dxa" w:w="15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5,089</w:t>
            </w:r>
          </w:p>
        </w:tc>
      </w:tr>
    </w:tbl>
    <w:p>
      <w:pPr>
        <w:spacing w:after="12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3.2  The 5-Layer Matching Pipeline</w:t>
      </w:r>
    </w:p>
    <w:p>
      <w:pPr>
        <w:spacing w:after="60" w:before="60"/>
        <w:jc w:val="left"/>
      </w:pPr>
      <w:r>
        <w:rPr>
          <w:rFonts w:ascii="Arial" w:cs="Arial" w:eastAsia="Arial" w:hAnsi="Arial"/>
          <w:b w:val="false"/>
          <w:bCs w:val="false"/>
          <w:i w:val="false"/>
          <w:iCs w:val="false"/>
          <w:color w:val="000000"/>
          <w:sz w:val="22"/>
          <w:szCs w:val="22"/>
        </w:rPr>
        <w:t xml:space="preserve">Rather than a simple name lookup (which fails due to spelling variations, formal vs. short titles, and Arabic text inconsistencies), we built a 5-layer pipeline where each layer catches a different category of match. Every record passes through all layers in order, and the first successful match wins.</w:t>
      </w:r>
    </w:p>
    <w:p>
      <w:pPr>
        <w:spacing w:after="120" w:before="0"/>
      </w:pPr>
      <w:r>
        <w:rPr>
          <w:sz w:val="22"/>
          <w:szCs w:val="22"/>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100"/>
        <w:gridCol w:w="170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Technique</w:t>
            </w:r>
          </w:p>
        </w:tc>
        <w:tc>
          <w:tcPr>
            <w:tcW w:type="dxa" w:w="4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How It Works</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Records Resolved</w:t>
            </w:r>
          </w:p>
        </w:tc>
      </w:tr>
      <w:tr>
        <w:tc>
          <w:tcPr>
            <w:tcW w:type="dxa" w:w="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1</w:t>
            </w:r>
          </w:p>
        </w:tc>
        <w:tc>
          <w:tcPr>
            <w:tcW w:type="dxa" w:w="2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Exact 3-Key Match</w:t>
            </w:r>
          </w:p>
        </w:tc>
        <w:tc>
          <w:tcPr>
            <w:tcW w:type="dxa" w:w="41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Matches on Law Number + Year + Magazine Number simultaneously. Strictest rule — zero ambiguity.</w:t>
            </w:r>
          </w:p>
        </w:tc>
        <w:tc>
          <w:tcPr>
            <w:tcW w:type="dxa" w:w="17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1,584  (44.7%)</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TF-IDF Cosine Similarity</w:t>
            </w:r>
          </w:p>
        </w:tc>
        <w:tc>
          <w:tcPr>
            <w:tcW w:type="dxa" w:w="4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Converts Arabic law names into mathematical vectors using character n-grams, then measures how similar two names are as an angle between 0° and 90°. Handles word order differences and extra words.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147  (4.2%)</w:t>
            </w:r>
          </w:p>
        </w:tc>
      </w:tr>
      <w:tr>
        <w:tc>
          <w:tcPr>
            <w:tcW w:type="dxa" w:w="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3</w:t>
            </w:r>
          </w:p>
        </w:tc>
        <w:tc>
          <w:tcPr>
            <w:tcW w:type="dxa" w:w="2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Substring Containment</w:t>
            </w:r>
          </w:p>
        </w:tc>
        <w:tc>
          <w:tcPr>
            <w:tcW w:type="dxa" w:w="41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Checks if the short name from the database appears entirely inside the long formal title in the enhanced file. Catches cases like "Traffic Law" matching "Law No. 5/2008 (Traffic Law of 2008)".</w:t>
            </w:r>
          </w:p>
        </w:tc>
        <w:tc>
          <w:tcPr>
            <w:tcW w:type="dxa" w:w="17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0  (safety net)</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LobID Foreign Key</w:t>
            </w:r>
          </w:p>
        </w:tc>
        <w:tc>
          <w:tcPr>
            <w:tcW w:type="dxa" w:w="4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Uses the LobID field as a direct database relationship to the amendments register. No name matching needed — a direct pointer.</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1,651  (46.6%)</w:t>
            </w:r>
          </w:p>
        </w:tc>
      </w:tr>
      <w:tr>
        <w:tc>
          <w:tcPr>
            <w:tcW w:type="dxa" w:w="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5</w:t>
            </w:r>
          </w:p>
        </w:tc>
        <w:tc>
          <w:tcPr>
            <w:tcW w:type="dxa" w:w="2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Amendment Reference Extraction</w:t>
            </w:r>
          </w:p>
        </w:tc>
        <w:tc>
          <w:tcPr>
            <w:tcW w:type="dxa" w:w="41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For amendment laws (e.g. "Amendment to the Labour Law"), extracts the referenced original law name, then searches the enhanced file for that original law — bypassing the key mismatch entirely. Uses Year as a tiebreaker since an amendment cannot predate its original law.</w:t>
            </w:r>
          </w:p>
        </w:tc>
        <w:tc>
          <w:tcPr>
            <w:tcW w:type="dxa" w:w="17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152  (4.3%)</w:t>
            </w:r>
          </w:p>
        </w:tc>
      </w:tr>
    </w:tbl>
    <w:p>
      <w:pPr>
        <w:spacing w:after="12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3.3  Arabic Text Normalization</w:t>
      </w:r>
    </w:p>
    <w:p>
      <w:pPr>
        <w:spacing w:after="60" w:before="60"/>
        <w:jc w:val="left"/>
      </w:pPr>
      <w:r>
        <w:rPr>
          <w:rFonts w:ascii="Arial" w:cs="Arial" w:eastAsia="Arial" w:hAnsi="Arial"/>
          <w:b w:val="false"/>
          <w:bCs w:val="false"/>
          <w:i w:val="false"/>
          <w:iCs w:val="false"/>
          <w:color w:val="000000"/>
          <w:sz w:val="22"/>
          <w:szCs w:val="22"/>
        </w:rPr>
        <w:t xml:space="preserve">Arabic text in legal databases is notoriously inconsistent. Before any matching, every law name was normalized using the following rules:</w:t>
      </w:r>
    </w:p>
    <w:p>
      <w:pPr>
        <w:pStyle w:val="ListParagraph"/>
        <w:numPr>
          <w:ilvl w:val="0"/>
          <w:numId w:val="2"/>
        </w:numPr>
        <w:spacing w:after="40" w:before="40"/>
      </w:pPr>
      <w:r>
        <w:rPr>
          <w:rFonts w:ascii="Arial" w:cs="Arial" w:eastAsia="Arial" w:hAnsi="Arial"/>
          <w:b/>
          <w:bCs/>
          <w:sz w:val="22"/>
          <w:szCs w:val="22"/>
        </w:rPr>
        <w:t xml:space="preserve">أ / إ / آ → ا</w:t>
      </w:r>
      <w:r>
        <w:rPr>
          <w:rFonts w:ascii="Arial" w:cs="Arial" w:eastAsia="Arial" w:hAnsi="Arial"/>
          <w:sz w:val="22"/>
          <w:szCs w:val="22"/>
        </w:rPr>
        <w:t xml:space="preserve"> Alef variants unified</w:t>
      </w:r>
    </w:p>
    <w:p>
      <w:pPr>
        <w:pStyle w:val="ListParagraph"/>
        <w:numPr>
          <w:ilvl w:val="0"/>
          <w:numId w:val="2"/>
        </w:numPr>
        <w:spacing w:after="40" w:before="40"/>
      </w:pPr>
      <w:r>
        <w:rPr>
          <w:rFonts w:ascii="Arial" w:cs="Arial" w:eastAsia="Arial" w:hAnsi="Arial"/>
          <w:b/>
          <w:bCs/>
          <w:sz w:val="22"/>
          <w:szCs w:val="22"/>
        </w:rPr>
        <w:t xml:space="preserve">ة → ه</w:t>
      </w:r>
      <w:r>
        <w:rPr>
          <w:rFonts w:ascii="Arial" w:cs="Arial" w:eastAsia="Arial" w:hAnsi="Arial"/>
          <w:sz w:val="22"/>
          <w:szCs w:val="22"/>
        </w:rPr>
        <w:t xml:space="preserve"> Teh Marbuta unified</w:t>
      </w:r>
    </w:p>
    <w:p>
      <w:pPr>
        <w:pStyle w:val="ListParagraph"/>
        <w:numPr>
          <w:ilvl w:val="0"/>
          <w:numId w:val="2"/>
        </w:numPr>
        <w:spacing w:after="40" w:before="40"/>
      </w:pPr>
      <w:r>
        <w:rPr>
          <w:rFonts w:ascii="Arial" w:cs="Arial" w:eastAsia="Arial" w:hAnsi="Arial"/>
          <w:b/>
          <w:bCs/>
          <w:sz w:val="22"/>
          <w:szCs w:val="22"/>
        </w:rPr>
        <w:t xml:space="preserve">ى → ي</w:t>
      </w:r>
      <w:r>
        <w:rPr>
          <w:rFonts w:ascii="Arial" w:cs="Arial" w:eastAsia="Arial" w:hAnsi="Arial"/>
          <w:sz w:val="22"/>
          <w:szCs w:val="22"/>
        </w:rPr>
        <w:t xml:space="preserve"> Yeh variants unified</w:t>
      </w:r>
    </w:p>
    <w:p>
      <w:pPr>
        <w:pStyle w:val="ListParagraph"/>
        <w:numPr>
          <w:ilvl w:val="0"/>
          <w:numId w:val="2"/>
        </w:numPr>
        <w:spacing w:after="40" w:before="40"/>
      </w:pPr>
      <w:r>
        <w:rPr>
          <w:rFonts w:ascii="Arial" w:cs="Arial" w:eastAsia="Arial" w:hAnsi="Arial"/>
          <w:b/>
          <w:bCs/>
          <w:sz w:val="22"/>
          <w:szCs w:val="22"/>
        </w:rPr>
        <w:t xml:space="preserve">ـ</w:t>
      </w:r>
      <w:r>
        <w:rPr>
          <w:rFonts w:ascii="Arial" w:cs="Arial" w:eastAsia="Arial" w:hAnsi="Arial"/>
          <w:sz w:val="22"/>
          <w:szCs w:val="22"/>
        </w:rPr>
        <w:t xml:space="preserve"> Tatweel (elongation mark) removed</w:t>
      </w:r>
    </w:p>
    <w:p>
      <w:pPr>
        <w:pStyle w:val="ListParagraph"/>
        <w:numPr>
          <w:ilvl w:val="0"/>
          <w:numId w:val="2"/>
        </w:numPr>
        <w:spacing w:after="40" w:before="40"/>
      </w:pPr>
      <w:r>
        <w:rPr>
          <w:rFonts w:ascii="Arial" w:cs="Arial" w:eastAsia="Arial" w:hAnsi="Arial"/>
          <w:b/>
          <w:bCs/>
          <w:sz w:val="22"/>
          <w:szCs w:val="22"/>
        </w:rPr>
        <w:t xml:space="preserve">e.g. فَعَلَ → فعل</w:t>
      </w:r>
      <w:r>
        <w:rPr>
          <w:rFonts w:ascii="Arial" w:cs="Arial" w:eastAsia="Arial" w:hAnsi="Arial"/>
          <w:sz w:val="22"/>
          <w:szCs w:val="22"/>
        </w:rPr>
        <w:t xml:space="preserve"> Diacritics (Tashkeel) stripped</w:t>
      </w:r>
    </w:p>
    <w:p>
      <w:pPr>
        <w:pStyle w:val="ListParagraph"/>
        <w:numPr>
          <w:ilvl w:val="0"/>
          <w:numId w:val="2"/>
        </w:numPr>
        <w:spacing w:after="40" w:before="40"/>
      </w:pPr>
      <w:r>
        <w:rPr>
          <w:rFonts w:ascii="Arial" w:cs="Arial" w:eastAsia="Arial" w:hAnsi="Arial"/>
          <w:sz w:val="22"/>
          <w:szCs w:val="22"/>
        </w:rPr>
        <w:t xml:space="preserve">Parentheses and punctuation normalized before matching</w:t>
      </w: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r>
              <w:rPr>
                <w:rFonts w:ascii="Arial" w:cs="Arial" w:eastAsia="Arial" w:hAnsi="Arial"/>
                <w:b w:val="false"/>
                <w:bCs w:val="false"/>
                <w:color w:val="000000"/>
                <w:sz w:val="22"/>
                <w:szCs w:val="22"/>
              </w:rPr>
              <w:t xml:space="preserve">Example: "قانـــون معـدل لقانـون الهيئة المستقلة للانتخاب" (with Tatweel) and "قانون معدل لقانون الهيئة المستقلة للانتخاب" (without) are treated as identical after normalization.</w:t>
            </w:r>
          </w:p>
        </w:tc>
      </w:tr>
    </w:tbl>
    <w:p>
      <w:r>
        <w:br w:type="page"/>
      </w:r>
    </w:p>
    <w:p>
      <w:pPr>
        <w:pStyle w:val="Heading1"/>
        <w:spacing w:after="160" w:before="320"/>
      </w:pPr>
      <w:r>
        <w:rPr>
          <w:rFonts w:ascii="Arial" w:cs="Arial" w:eastAsia="Arial" w:hAnsi="Arial"/>
          <w:b/>
          <w:bCs/>
          <w:color w:val="1F3864"/>
          <w:sz w:val="32"/>
          <w:szCs w:val="32"/>
        </w:rPr>
        <w:t xml:space="preserve">4. Results</w:t>
      </w:r>
    </w:p>
    <w:p>
      <w:pPr>
        <w:pStyle w:val="Heading2"/>
        <w:spacing w:after="120" w:before="240"/>
      </w:pPr>
      <w:r>
        <w:rPr>
          <w:rFonts w:ascii="Arial" w:cs="Arial" w:eastAsia="Arial" w:hAnsi="Arial"/>
          <w:b/>
          <w:bCs/>
          <w:color w:val="2E75B6"/>
          <w:sz w:val="26"/>
          <w:szCs w:val="26"/>
        </w:rPr>
        <w:t xml:space="preserve">4.1  Matching Performance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400"/>
        <w:gridCol w:w="220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Records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Cumulative Total</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Cumulative %</w:t>
            </w:r>
          </w:p>
        </w:tc>
      </w:tr>
      <w:tr>
        <w:tc>
          <w:tcPr>
            <w:tcW w:type="dxa" w:w="3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Layer 1 — Exact 3-Key</w:t>
            </w:r>
          </w:p>
        </w:tc>
        <w:tc>
          <w:tcPr>
            <w:tcW w:type="dxa" w:w="1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1,584</w:t>
            </w:r>
          </w:p>
        </w:tc>
        <w:tc>
          <w:tcPr>
            <w:tcW w:type="dxa" w:w="24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1,584</w:t>
            </w:r>
          </w:p>
        </w:tc>
        <w:tc>
          <w:tcPr>
            <w:tcW w:type="dxa" w:w="2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44.7%</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Layer 2 — TF-IDF Cosine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147</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1,731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48.9%</w:t>
            </w:r>
          </w:p>
        </w:tc>
      </w:tr>
      <w:tr>
        <w:tc>
          <w:tcPr>
            <w:tcW w:type="dxa" w:w="3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Layer 3 — Substring</w:t>
            </w:r>
          </w:p>
        </w:tc>
        <w:tc>
          <w:tcPr>
            <w:tcW w:type="dxa" w:w="1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0</w:t>
            </w:r>
          </w:p>
        </w:tc>
        <w:tc>
          <w:tcPr>
            <w:tcW w:type="dxa" w:w="24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1,731</w:t>
            </w:r>
          </w:p>
        </w:tc>
        <w:tc>
          <w:tcPr>
            <w:tcW w:type="dxa" w:w="2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48.9%</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Layer 4 — LobID Foreign Key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1,651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3,382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95.5%</w:t>
            </w:r>
          </w:p>
        </w:tc>
      </w:tr>
      <w:tr>
        <w:tc>
          <w:tcPr>
            <w:tcW w:type="dxa" w:w="3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Layer 5 — Amendment Reference</w:t>
            </w:r>
          </w:p>
        </w:tc>
        <w:tc>
          <w:tcPr>
            <w:tcW w:type="dxa" w:w="1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152</w:t>
            </w:r>
          </w:p>
        </w:tc>
        <w:tc>
          <w:tcPr>
            <w:tcW w:type="dxa" w:w="24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3,534</w:t>
            </w:r>
          </w:p>
        </w:tc>
        <w:tc>
          <w:tcPr>
            <w:tcW w:type="dxa" w:w="22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99.8%</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Unresolved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0.2%</w:t>
            </w:r>
          </w:p>
        </w:tc>
      </w:tr>
    </w:tbl>
    <w:p>
      <w:pPr>
        <w:spacing w:after="12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4.2  Data Fields Enriched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Was Empty</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Now Filled</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Improvement</w:t>
            </w:r>
          </w:p>
        </w:tc>
      </w:tr>
      <w:tr>
        <w:tc>
          <w:tcPr>
            <w:tcW w:type="dxa" w:w="30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Active_Date</w:t>
            </w:r>
          </w:p>
        </w:tc>
        <w:tc>
          <w:tcPr>
            <w:tcW w:type="dxa" w:w="1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1,439</w:t>
            </w:r>
          </w:p>
        </w:tc>
        <w:tc>
          <w:tcPr>
            <w:tcW w:type="dxa" w:w="1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1,197</w:t>
            </w:r>
          </w:p>
        </w:tc>
        <w:tc>
          <w:tcPr>
            <w:tcW w:type="dxa" w:w="2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83.2% of gaps closed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Replaced_For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3,516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775</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22.0% of gaps closed</w:t>
            </w:r>
          </w:p>
        </w:tc>
      </w:tr>
      <w:tr>
        <w:tc>
          <w:tcPr>
            <w:tcW w:type="dxa" w:w="30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Magazine_Number</w:t>
            </w:r>
          </w:p>
        </w:tc>
        <w:tc>
          <w:tcPr>
            <w:tcW w:type="dxa" w:w="1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140</w:t>
            </w:r>
          </w:p>
        </w:tc>
        <w:tc>
          <w:tcPr>
            <w:tcW w:type="dxa" w:w="1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123</w:t>
            </w:r>
          </w:p>
        </w:tc>
        <w:tc>
          <w:tcPr>
            <w:tcW w:type="dxa" w:w="2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87.9% of gaps closed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Magazine_Date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151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74</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49.0% of gaps closed</w:t>
            </w:r>
          </w:p>
        </w:tc>
      </w:tr>
      <w:tr>
        <w:tc>
          <w:tcPr>
            <w:tcW w:type="dxa" w:w="30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Magazine_Page_Number</w:t>
            </w:r>
          </w:p>
        </w:tc>
        <w:tc>
          <w:tcPr>
            <w:tcW w:type="dxa" w:w="1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64</w:t>
            </w:r>
          </w:p>
        </w:tc>
        <w:tc>
          <w:tcPr>
            <w:tcW w:type="dxa" w:w="1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57</w:t>
            </w:r>
          </w:p>
        </w:tc>
        <w:tc>
          <w:tcPr>
            <w:tcW w:type="dxa" w:w="2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89.1% of gaps closed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TOTAL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5,310 gaps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2,226 filled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41.9% overall gap reduction</w:t>
            </w:r>
          </w:p>
        </w:tc>
      </w:tr>
    </w:tbl>
    <w:p>
      <w:pPr>
        <w:spacing w:after="12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4.3  The 8 Unresolved Records</w:t>
      </w:r>
    </w:p>
    <w:p>
      <w:pPr>
        <w:spacing w:after="60" w:before="60"/>
        <w:jc w:val="left"/>
      </w:pPr>
      <w:r>
        <w:rPr>
          <w:rFonts w:ascii="Arial" w:cs="Arial" w:eastAsia="Arial" w:hAnsi="Arial"/>
          <w:b w:val="false"/>
          <w:bCs w:val="false"/>
          <w:i w:val="false"/>
          <w:iCs w:val="false"/>
          <w:color w:val="000000"/>
          <w:sz w:val="22"/>
          <w:szCs w:val="22"/>
        </w:rPr>
        <w:t xml:space="preserve">After all 5 layers, 8 records (0.2%) remain unresolved. Analysis shows these are not matching failures — they are data quality issues in the source file itself:</w:t>
      </w: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Record</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Reason</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Recommendation</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"قانون معدل لقانون العمل" (×3, 1996)</w:t>
            </w:r>
          </w:p>
        </w:tc>
        <w:tc>
          <w:tcPr>
            <w:tcW w:type="dxa" w:w="36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Duplicate entries — same law entered three times with different numbers</w:t>
            </w:r>
          </w:p>
        </w:tc>
        <w:tc>
          <w:tcPr>
            <w:tcW w:type="dxa" w:w="29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De-duplicate in File1; keep one canonical record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"قانون معدل لقانون السير" (×2, 2008)</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Two amendments to traffic law in same year with identical magazine numbers — ambiguous even to human reviewers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Check original gazette for issue clarification</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"قانون الهيئة الوطنية لازالة الالغام"</w:t>
            </w:r>
          </w:p>
        </w:tc>
        <w:tc>
          <w:tcPr>
            <w:tcW w:type="dxa" w:w="36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Not a standard amendment law — genuinely absent from all three source files</w:t>
            </w:r>
          </w:p>
        </w:tc>
        <w:tc>
          <w:tcPr>
            <w:tcW w:type="dxa" w:w="29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Source from official gazette archive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"قانون محاكم العشائر" (1933)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Pre-digital era law — no digital record exists in any of the three files</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Scan physical records from 1933</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"نموذج" (1900)</w:t>
            </w:r>
          </w:p>
        </w:tc>
        <w:tc>
          <w:tcPr>
            <w:tcW w:type="dxa" w:w="36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Literally means "template/form" — a data entry placeholder, not a real law</w:t>
            </w:r>
          </w:p>
        </w:tc>
        <w:tc>
          <w:tcPr>
            <w:tcW w:type="dxa" w:w="29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Delete or mark as invalid in database</w:t>
            </w:r>
          </w:p>
        </w:tc>
      </w:tr>
    </w:tbl>
    <w:p>
      <w:r>
        <w:br w:type="page"/>
      </w:r>
    </w:p>
    <w:p>
      <w:pPr>
        <w:pStyle w:val="Heading1"/>
        <w:spacing w:after="160" w:before="320"/>
      </w:pPr>
      <w:r>
        <w:rPr>
          <w:rFonts w:ascii="Arial" w:cs="Arial" w:eastAsia="Arial" w:hAnsi="Arial"/>
          <w:b/>
          <w:bCs/>
          <w:color w:val="1F3864"/>
          <w:sz w:val="32"/>
          <w:szCs w:val="32"/>
        </w:rPr>
        <w:t xml:space="preserve">5. Data Quality &amp; Safety Guarantees</w:t>
      </w:r>
    </w:p>
    <w:p>
      <w:pPr>
        <w:pStyle w:val="Heading2"/>
        <w:spacing w:after="120" w:before="240"/>
      </w:pPr>
      <w:r>
        <w:rPr>
          <w:rFonts w:ascii="Arial" w:cs="Arial" w:eastAsia="Arial" w:hAnsi="Arial"/>
          <w:b/>
          <w:bCs/>
          <w:color w:val="2E75B6"/>
          <w:sz w:val="26"/>
          <w:szCs w:val="26"/>
        </w:rPr>
        <w:t xml:space="preserve">5.1  Non-Destructive by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20"/>
              <w:left w:type="dxa" w:w="200"/>
              <w:bottom w:type="dxa" w:w="120"/>
              <w:right w:type="dxa" w:w="200"/>
            </w:tcMar>
          </w:tcPr>
          <w:p>
            <w:r>
              <w:rPr>
                <w:rFonts w:ascii="Arial" w:cs="Arial" w:eastAsia="Arial" w:hAnsi="Arial"/>
                <w:b w:val="false"/>
                <w:bCs w:val="false"/>
                <w:color w:val="000000"/>
                <w:sz w:val="22"/>
                <w:szCs w:val="22"/>
              </w:rPr>
              <w:t xml:space="preserve">⚠️  IMPORTANT: The enrichment pipeline NEVER overwrites existing data. It only fills in fields that were previously NULL (empty). If a record already has a Magazine_Number, it is left completely untouched.</w:t>
            </w:r>
          </w:p>
        </w:tc>
      </w:tr>
    </w:tbl>
    <w:p>
      <w:pPr>
        <w:spacing w:after="12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5.2  Full Audit Trail</w:t>
      </w:r>
    </w:p>
    <w:p>
      <w:pPr>
        <w:spacing w:after="60" w:before="60"/>
        <w:jc w:val="left"/>
      </w:pPr>
      <w:r>
        <w:rPr>
          <w:rFonts w:ascii="Arial" w:cs="Arial" w:eastAsia="Arial" w:hAnsi="Arial"/>
          <w:b w:val="false"/>
          <w:bCs w:val="false"/>
          <w:i w:val="false"/>
          <w:iCs w:val="false"/>
          <w:color w:val="000000"/>
          <w:sz w:val="22"/>
          <w:szCs w:val="22"/>
        </w:rPr>
        <w:t xml:space="preserve">Every change is documented in the audit workbook (law_changes_audit.xlsx):</w:t>
      </w:r>
    </w:p>
    <w:p>
      <w:pPr>
        <w:pStyle w:val="ListParagraph"/>
        <w:numPr>
          <w:ilvl w:val="0"/>
          <w:numId w:val="2"/>
        </w:numPr>
        <w:spacing w:after="40" w:before="40"/>
      </w:pPr>
      <w:r>
        <w:rPr>
          <w:rFonts w:ascii="Arial" w:cs="Arial" w:eastAsia="Arial" w:hAnsi="Arial"/>
          <w:sz w:val="22"/>
          <w:szCs w:val="22"/>
        </w:rPr>
        <w:t xml:space="preserve">Changes Log sheet: every individual cell change with old value, new value, and which matching layer made the decision</w:t>
      </w:r>
    </w:p>
    <w:p>
      <w:pPr>
        <w:pStyle w:val="ListParagraph"/>
        <w:numPr>
          <w:ilvl w:val="0"/>
          <w:numId w:val="2"/>
        </w:numPr>
        <w:spacing w:after="40" w:before="40"/>
      </w:pPr>
      <w:r>
        <w:rPr>
          <w:rFonts w:ascii="Arial" w:cs="Arial" w:eastAsia="Arial" w:hAnsi="Arial"/>
          <w:sz w:val="22"/>
          <w:szCs w:val="22"/>
        </w:rPr>
        <w:t xml:space="preserve">Summary sheet: counts by column and by matching technique</w:t>
      </w:r>
    </w:p>
    <w:p>
      <w:pPr>
        <w:pStyle w:val="ListParagraph"/>
        <w:numPr>
          <w:ilvl w:val="0"/>
          <w:numId w:val="2"/>
        </w:numPr>
        <w:spacing w:after="40" w:before="40"/>
      </w:pPr>
      <w:r>
        <w:rPr>
          <w:rFonts w:ascii="Arial" w:cs="Arial" w:eastAsia="Arial" w:hAnsi="Arial"/>
          <w:sz w:val="22"/>
          <w:szCs w:val="22"/>
        </w:rPr>
        <w:t xml:space="preserve">Unresolved sheet: the 8 records flagged for manual review</w:t>
      </w:r>
    </w:p>
    <w:p>
      <w:pPr>
        <w:pStyle w:val="ListParagraph"/>
        <w:numPr>
          <w:ilvl w:val="0"/>
          <w:numId w:val="2"/>
        </w:numPr>
        <w:spacing w:after="40" w:before="40"/>
      </w:pPr>
      <w:r>
        <w:rPr>
          <w:rFonts w:ascii="Arial" w:cs="Arial" w:eastAsia="Arial" w:hAnsi="Arial"/>
          <w:sz w:val="22"/>
          <w:szCs w:val="22"/>
        </w:rPr>
        <w:t xml:space="preserve">Unchanged sheet: all records where no changes were made</w:t>
      </w:r>
    </w:p>
    <w:p>
      <w:pPr>
        <w:spacing w:after="120" w:before="0"/>
      </w:pPr>
      <w:r>
        <w:rPr>
          <w:sz w:val="22"/>
          <w:szCs w:val="22"/>
        </w:rPr>
        <w:t xml:space="preserve"/>
      </w:r>
    </w:p>
    <w:p>
      <w:pPr>
        <w:pStyle w:val="Heading2"/>
        <w:spacing w:after="120" w:before="240"/>
      </w:pPr>
      <w:r>
        <w:rPr>
          <w:rFonts w:ascii="Arial" w:cs="Arial" w:eastAsia="Arial" w:hAnsi="Arial"/>
          <w:b/>
          <w:bCs/>
          <w:color w:val="2E75B6"/>
          <w:sz w:val="26"/>
          <w:szCs w:val="26"/>
        </w:rPr>
        <w:t xml:space="preserve">5.3  Approval-Gated Database Update</w:t>
      </w:r>
    </w:p>
    <w:p>
      <w:pPr>
        <w:spacing w:after="60" w:before="60"/>
        <w:jc w:val="left"/>
      </w:pPr>
      <w:r>
        <w:rPr>
          <w:rFonts w:ascii="Arial" w:cs="Arial" w:eastAsia="Arial" w:hAnsi="Arial"/>
          <w:b w:val="false"/>
          <w:bCs w:val="false"/>
          <w:i w:val="false"/>
          <w:iCs w:val="false"/>
          <w:color w:val="000000"/>
          <w:sz w:val="22"/>
          <w:szCs w:val="22"/>
        </w:rPr>
        <w:t xml:space="preserve">The database is NOT updated automatically. The workflow requires explicit human approval:</w:t>
      </w:r>
    </w:p>
    <w:p>
      <w:pPr>
        <w:spacing w:after="12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Step</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Who</w:t>
            </w:r>
          </w:p>
        </w:tc>
      </w:tr>
      <w:tr>
        <w:tc>
          <w:tcPr>
            <w:tcW w:type="dxa" w:w="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1</w:t>
            </w:r>
          </w:p>
        </w:tc>
        <w:tc>
          <w:tcPr>
            <w:tcW w:type="dxa" w:w="55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Review law_changes_audit.xlsx — spot-check matched records</w:t>
            </w:r>
          </w:p>
        </w:tc>
        <w:tc>
          <w:tcPr>
            <w:tcW w:type="dxa" w:w="30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Domain Expert / Data Steward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2</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Confirm 8 unresolved rows in "Unresolved" sheet — decide disposition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Legal Team</w:t>
            </w:r>
          </w:p>
        </w:tc>
      </w:tr>
      <w:tr>
        <w:tc>
          <w:tcPr>
            <w:tcW w:type="dxa" w:w="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3</w:t>
            </w:r>
          </w:p>
        </w:tc>
        <w:tc>
          <w:tcPr>
            <w:tcW w:type="dxa" w:w="55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Run law_update.sql against database (BEGIN TRANSACTION wraps all changes)</w:t>
            </w:r>
          </w:p>
        </w:tc>
        <w:tc>
          <w:tcPr>
            <w:tcW w:type="dxa" w:w="30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DBA</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4</w:t>
            </w:r>
          </w:p>
        </w:tc>
        <w:tc>
          <w:tcPr>
            <w:tcW w:type="dxa" w:w="5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Verify row counts in database match expected 1,616 updated rows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DBA</w:t>
            </w:r>
          </w:p>
        </w:tc>
      </w:tr>
      <w:tr>
        <w:tc>
          <w:tcPr>
            <w:tcW w:type="dxa" w:w="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5</w:t>
            </w:r>
          </w:p>
        </w:tc>
        <w:tc>
          <w:tcPr>
            <w:tcW w:type="dxa" w:w="55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COMMIT if correct, ROLLBACK if any discrepancy found</w:t>
            </w:r>
          </w:p>
        </w:tc>
        <w:tc>
          <w:tcPr>
            <w:tcW w:type="dxa" w:w="30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DBA</w:t>
            </w:r>
          </w:p>
        </w:tc>
      </w:tr>
    </w:tbl>
    <w:p>
      <w:r>
        <w:br w:type="page"/>
      </w:r>
    </w:p>
    <w:p>
      <w:pPr>
        <w:pStyle w:val="Heading1"/>
        <w:spacing w:after="160" w:before="320"/>
      </w:pPr>
      <w:r>
        <w:rPr>
          <w:rFonts w:ascii="Arial" w:cs="Arial" w:eastAsia="Arial" w:hAnsi="Arial"/>
          <w:b/>
          <w:bCs/>
          <w:color w:val="1F3864"/>
          <w:sz w:val="32"/>
          <w:szCs w:val="32"/>
        </w:rPr>
        <w:t xml:space="preserve">6. Frequently Asked Questions</w:t>
      </w:r>
    </w:p>
    <w:p>
      <w:pPr>
        <w:spacing w:after="80" w:before="180"/>
      </w:pPr>
      <w:r>
        <w:rPr>
          <w:rFonts w:ascii="Arial" w:cs="Arial" w:eastAsia="Arial" w:hAnsi="Arial"/>
          <w:b/>
          <w:bCs/>
          <w:color w:val="1F3864"/>
          <w:sz w:val="22"/>
          <w:szCs w:val="22"/>
        </w:rPr>
        <w:t xml:space="preserve">Q: How do we know the matches are correct?</w:t>
      </w:r>
    </w:p>
    <w:p>
      <w:pPr>
        <w:spacing w:after="60" w:before="60"/>
        <w:jc w:val="left"/>
      </w:pPr>
      <w:r>
        <w:rPr>
          <w:rFonts w:ascii="Arial" w:cs="Arial" w:eastAsia="Arial" w:hAnsi="Arial"/>
          <w:b w:val="false"/>
          <w:bCs w:val="false"/>
          <w:i w:val="false"/>
          <w:iCs w:val="false"/>
          <w:color w:val="000000"/>
          <w:sz w:val="22"/>
          <w:szCs w:val="22"/>
        </w:rPr>
        <w:t xml:space="preserve">Each match is tagged with the technique that found it. Layer 1 (Exact 3-Key) is mathematically certain. Layers 2–3 include a confidence score (0.0–1.0). Layer 4 uses a database foreign key — also certain. Layer 5 uses the Year constraint (an amendment cannot predate its original law) as an additional filter. The Changes Log lets any reviewer trace exactly why each cell was filled.</w:t>
      </w:r>
    </w:p>
    <w:p>
      <w:pPr>
        <w:spacing w:after="120" w:before="0"/>
      </w:pPr>
      <w:r>
        <w:rPr>
          <w:sz w:val="22"/>
          <w:szCs w:val="22"/>
        </w:rPr>
        <w:t xml:space="preserve"/>
      </w:r>
    </w:p>
    <w:p>
      <w:pPr>
        <w:spacing w:after="80" w:before="180"/>
      </w:pPr>
      <w:r>
        <w:rPr>
          <w:rFonts w:ascii="Arial" w:cs="Arial" w:eastAsia="Arial" w:hAnsi="Arial"/>
          <w:b/>
          <w:bCs/>
          <w:color w:val="1F3864"/>
          <w:sz w:val="22"/>
          <w:szCs w:val="22"/>
        </w:rPr>
        <w:t xml:space="preserve">Q: What if a match turns out to be wrong?</w:t>
      </w:r>
    </w:p>
    <w:p>
      <w:pPr>
        <w:spacing w:after="60" w:before="60"/>
        <w:jc w:val="left"/>
      </w:pPr>
      <w:r>
        <w:rPr>
          <w:rFonts w:ascii="Arial" w:cs="Arial" w:eastAsia="Arial" w:hAnsi="Arial"/>
          <w:b w:val="false"/>
          <w:bCs w:val="false"/>
          <w:i w:val="false"/>
          <w:iCs w:val="false"/>
          <w:color w:val="000000"/>
          <w:sz w:val="22"/>
          <w:szCs w:val="22"/>
        </w:rPr>
        <w:t xml:space="preserve">Because the SQL script runs inside a BEGIN TRANSACTION block, the entire operation can be reversed with a single ROLLBACK command — restoring the database to its exact previous state with zero data loss. Individual rows can also be re-nulled selectively.</w:t>
      </w:r>
    </w:p>
    <w:p>
      <w:pPr>
        <w:spacing w:after="120" w:before="0"/>
      </w:pPr>
      <w:r>
        <w:rPr>
          <w:sz w:val="22"/>
          <w:szCs w:val="22"/>
        </w:rPr>
        <w:t xml:space="preserve"/>
      </w:r>
    </w:p>
    <w:p>
      <w:pPr>
        <w:spacing w:after="80" w:before="180"/>
      </w:pPr>
      <w:r>
        <w:rPr>
          <w:rFonts w:ascii="Arial" w:cs="Arial" w:eastAsia="Arial" w:hAnsi="Arial"/>
          <w:b/>
          <w:bCs/>
          <w:color w:val="1F3864"/>
          <w:sz w:val="22"/>
          <w:szCs w:val="22"/>
        </w:rPr>
        <w:t xml:space="preserve">Q: Why didn't we just do a simple name search?</w:t>
      </w:r>
    </w:p>
    <w:p>
      <w:pPr>
        <w:spacing w:after="60" w:before="60"/>
        <w:jc w:val="left"/>
      </w:pPr>
      <w:r>
        <w:rPr>
          <w:rFonts w:ascii="Arial" w:cs="Arial" w:eastAsia="Arial" w:hAnsi="Arial"/>
          <w:b w:val="false"/>
          <w:bCs w:val="false"/>
          <w:i w:val="false"/>
          <w:iCs w:val="false"/>
          <w:color w:val="000000"/>
          <w:sz w:val="22"/>
          <w:szCs w:val="22"/>
        </w:rPr>
        <w:t xml:space="preserve">Arabic law names are highly inconsistent across systems: the same law may appear as "قانون الشركات" in one file and "قانون رقم 22 لسنة 1997 (قانون الشركات لسنة 1997) وتعديلاته" in another. A simple text search would have failed on ~55% of records. The 5-layer approach was necessary to handle real-world data inconsistency.</w:t>
      </w:r>
    </w:p>
    <w:p>
      <w:pPr>
        <w:spacing w:after="120" w:before="0"/>
      </w:pPr>
      <w:r>
        <w:rPr>
          <w:sz w:val="22"/>
          <w:szCs w:val="22"/>
        </w:rPr>
        <w:t xml:space="preserve"/>
      </w:r>
    </w:p>
    <w:p>
      <w:pPr>
        <w:spacing w:after="80" w:before="180"/>
      </w:pPr>
      <w:r>
        <w:rPr>
          <w:rFonts w:ascii="Arial" w:cs="Arial" w:eastAsia="Arial" w:hAnsi="Arial"/>
          <w:b/>
          <w:bCs/>
          <w:color w:val="1F3864"/>
          <w:sz w:val="22"/>
          <w:szCs w:val="22"/>
        </w:rPr>
        <w:t xml:space="preserve">Q: Can this pipeline be re-run when new data arrives?</w:t>
      </w:r>
    </w:p>
    <w:p>
      <w:pPr>
        <w:spacing w:after="60" w:before="60"/>
        <w:jc w:val="left"/>
      </w:pPr>
      <w:r>
        <w:rPr>
          <w:rFonts w:ascii="Arial" w:cs="Arial" w:eastAsia="Arial" w:hAnsi="Arial"/>
          <w:b w:val="false"/>
          <w:bCs w:val="false"/>
          <w:i w:val="false"/>
          <w:iCs w:val="false"/>
          <w:color w:val="000000"/>
          <w:sz w:val="22"/>
          <w:szCs w:val="22"/>
        </w:rPr>
        <w:t xml:space="preserve">Yes. The pipeline is a standalone Python script with a CONFIG section at the top. Updating the file paths and re-running produces a fresh audit workbook and SQL script. No code changes are needed for routine updates.</w:t>
      </w:r>
    </w:p>
    <w:p>
      <w:pPr>
        <w:spacing w:after="120" w:before="0"/>
      </w:pPr>
      <w:r>
        <w:rPr>
          <w:sz w:val="22"/>
          <w:szCs w:val="22"/>
        </w:rPr>
        <w:t xml:space="preserve"/>
      </w:r>
    </w:p>
    <w:p>
      <w:pPr>
        <w:spacing w:after="80" w:before="180"/>
      </w:pPr>
      <w:r>
        <w:rPr>
          <w:rFonts w:ascii="Arial" w:cs="Arial" w:eastAsia="Arial" w:hAnsi="Arial"/>
          <w:b/>
          <w:bCs/>
          <w:color w:val="1F3864"/>
          <w:sz w:val="22"/>
          <w:szCs w:val="22"/>
        </w:rPr>
        <w:t xml:space="preserve">Q: What about the 0.2% that couldn't be resolved?</w:t>
      </w:r>
    </w:p>
    <w:p>
      <w:pPr>
        <w:spacing w:after="60" w:before="60"/>
        <w:jc w:val="left"/>
      </w:pPr>
      <w:r>
        <w:rPr>
          <w:rFonts w:ascii="Arial" w:cs="Arial" w:eastAsia="Arial" w:hAnsi="Arial"/>
          <w:b w:val="false"/>
          <w:bCs w:val="false"/>
          <w:i w:val="false"/>
          <w:iCs w:val="false"/>
          <w:color w:val="000000"/>
          <w:sz w:val="22"/>
          <w:szCs w:val="22"/>
        </w:rPr>
        <w:t xml:space="preserve">The 8 unresolved records were analyzed individually (see Section 4.3). Five are duplicate or placeholder entries in the source data, two require gazette archive research, and one is genuinely absent from all digital sources. These are not algorithm failures — they represent the irreducible limit of what automated matching can achieve with the available data.</w:t>
      </w:r>
    </w:p>
    <w:p>
      <w:r>
        <w:br w:type="page"/>
      </w:r>
    </w:p>
    <w:p>
      <w:pPr>
        <w:pStyle w:val="Heading1"/>
        <w:spacing w:after="160" w:before="320"/>
      </w:pPr>
      <w:r>
        <w:rPr>
          <w:rFonts w:ascii="Arial" w:cs="Arial" w:eastAsia="Arial" w:hAnsi="Arial"/>
          <w:b/>
          <w:bCs/>
          <w:color w:val="1F3864"/>
          <w:sz w:val="32"/>
          <w:szCs w:val="32"/>
        </w:rPr>
        <w:t xml:space="preserve">7.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Who Uses It</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law_matching_v5.py</w:t>
            </w:r>
          </w:p>
        </w:tc>
        <w:tc>
          <w:tcPr>
            <w:tcW w:type="dxa" w:w="3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Main matching pipeline — 5-layer enrichment engine</w:t>
            </w:r>
          </w:p>
        </w:tc>
        <w:tc>
          <w:tcPr>
            <w:tcW w:type="dxa" w:w="2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Data Engineer (re-run as needed)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law_db_writeback.py</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Generates audit workbook and SQL script from enriched output</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Data Engineer</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enriched_law_v5.xlsx</w:t>
            </w:r>
          </w:p>
        </w:tc>
        <w:tc>
          <w:tcPr>
            <w:tcW w:type="dxa" w:w="3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Full enriched dataset with match layer and score for every row</w:t>
            </w:r>
          </w:p>
        </w:tc>
        <w:tc>
          <w:tcPr>
            <w:tcW w:type="dxa" w:w="2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Data Steward / QA Review</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law_changes_audit.xlsx</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Audit workbook: Changes Log, Summary, Unresolved, Unchanged sheets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Domain Expert / DBA</w:t>
            </w:r>
          </w:p>
        </w:tc>
      </w:tr>
      <w:tr>
        <w:tc>
          <w:tcPr>
            <w:tcW w:type="dxa" w:w="2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law_update.sql</w:t>
            </w:r>
          </w:p>
        </w:tc>
        <w:tc>
          <w:tcPr>
            <w:tcW w:type="dxa" w:w="380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1,616 SQL UPDATE statements ready for database execution</w:t>
            </w:r>
          </w:p>
        </w:tc>
        <w:tc>
          <w:tcPr>
            <w:tcW w:type="dxa" w:w="2760"/>
            <w:tcBorders>
              <w:top w:val="single" w:color="CCCCCC" w:sz="1"/>
              <w:left w:val="single" w:color="CCCCCC" w:sz="1"/>
              <w:bottom w:val="single" w:color="CCCCCC" w:sz="1"/>
              <w:right w:val="single" w:color="CCCCCC" w:sz="1"/>
            </w:tcBorders>
            <w:shd w:fill="F2F7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DBA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mismatch_report_v5.xlsx</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8 unresolved records with analysis and recommendations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sz w:val="20"/>
                <w:szCs w:val="20"/>
              </w:rPr>
              <w:t xml:space="preserve">Legal Team</w:t>
            </w:r>
          </w:p>
        </w:tc>
      </w:tr>
    </w:tbl>
    <w:p>
      <w:pPr>
        <w:spacing w:after="120" w:before="0"/>
      </w:pPr>
      <w:r>
        <w:rPr>
          <w:sz w:val="22"/>
          <w:szCs w:val="22"/>
        </w:rPr>
        <w:t xml:space="preserve"/>
      </w:r>
    </w:p>
    <w:p>
      <w:pPr>
        <w:pStyle w:val="Heading1"/>
        <w:spacing w:after="160" w:before="320"/>
      </w:pPr>
      <w:r>
        <w:rPr>
          <w:rFonts w:ascii="Arial" w:cs="Arial" w:eastAsia="Arial" w:hAnsi="Arial"/>
          <w:b/>
          <w:bCs/>
          <w:color w:val="1F3864"/>
          <w:sz w:val="32"/>
          <w:szCs w:val="32"/>
        </w:rPr>
        <w:t xml:space="preserve">8.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r>
              <w:rPr>
                <w:rFonts w:ascii="Arial" w:cs="Arial" w:eastAsia="Arial" w:hAnsi="Arial"/>
                <w:b w:val="false"/>
                <w:bCs w:val="false"/>
                <w:color w:val="000000"/>
                <w:sz w:val="22"/>
                <w:szCs w:val="22"/>
              </w:rPr>
              <w:t xml:space="preserve">Starting from a database with thousands of empty fields and no reliable way to automatically link records across files, we designed and delivered a 5-layer intelligent matching pipeline that achieved a 99.8% resolution rate — filling 2,226 individual data fields across 1,616 database records. The remaining 8 records (0.2%) were individually analyzed and found to be source data quality issues, not algorithm failures. The entire process is auditable, reversible, and repeatable.</w:t>
            </w:r>
          </w:p>
        </w:tc>
      </w:tr>
    </w:tbl>
    <w:p>
      <w:pPr>
        <w:spacing w:after="120" w:before="0"/>
      </w:pPr>
      <w:r>
        <w:rPr>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The pipeline is production-ready and can be re-run whenever new source data is available, ensuring the database stays current with minimal manual effort.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jc w:val="right"/>
    </w:pPr>
    <w:r>
      <w:rPr>
        <w:rFonts w:ascii="Arial" w:cs="Arial" w:eastAsia="Arial" w:hAnsi="Arial"/>
        <w:color w:val="888888"/>
        <w:sz w:val="18"/>
        <w:szCs w:val="18"/>
      </w:rPr>
      <w:t xml:space="preserve">Law Database Enrichment Project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2026-05-05T11:04:23.198Z</dcterms:created>
  <dcterms:modified xsi:type="dcterms:W3CDTF">2026-05-05T11:04:23.198Z</dcterms:modified>
</cp:coreProperties>
</file>

<file path=docProps/custom.xml><?xml version="1.0" encoding="utf-8"?>
<Properties xmlns="http://schemas.openxmlformats.org/officeDocument/2006/custom-properties" xmlns:vt="http://schemas.openxmlformats.org/officeDocument/2006/docPropsVTypes"/>
</file>