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300"/>
        <w:jc w:val="center"/>
      </w:pPr>
      <w:r>
        <w:rPr>
          <w:b/>
          <w:bCs/>
          <w:sz w:val="36"/>
          <w:szCs w:val="36"/>
        </w:rPr>
        <w:t xml:space="preserve">MODEL MONITORING SETUP</w:t>
      </w:r>
    </w:p>
    <w:p>
      <w:pPr>
        <w:spacing w:after="150"/>
        <w:jc w:val="center"/>
      </w:pPr>
      <w:r>
        <w:rPr>
          <w:i/>
          <w:iCs/>
          <w:sz w:val="26"/>
          <w:szCs w:val="26"/>
        </w:rPr>
        <w:t xml:space="preserve">Sales Forecasting &amp; Optimization Project</w:t>
      </w:r>
    </w:p>
    <w:p>
      <w:pPr>
        <w:spacing w:after="150"/>
        <w:jc w:val="center"/>
      </w:pPr>
      <w:r>
        <w:rPr>
          <w:sz w:val="24"/>
          <w:szCs w:val="24"/>
        </w:rPr>
        <w:t xml:space="preserve">Rossmann Store Sales Dataset</w:t>
      </w:r>
    </w:p>
    <w:p>
      <w:pPr>
        <w:spacing w:after="150"/>
        <w:jc w:val="center"/>
      </w:pPr>
      <w:r>
        <w:rPr>
          <w:sz w:val="24"/>
          <w:szCs w:val="24"/>
        </w:rPr>
        <w:t xml:space="preserve">DEPI Round 4 — AI &amp; Data Science Track — Milestone 4</w:t>
      </w:r>
    </w:p>
    <w:p>
      <w:pPr>
        <w:spacing w:after="150"/>
        <w:jc w:val="center"/>
      </w:pPr>
      <w:r>
        <w:rPr>
          <w:sz w:val="24"/>
          <w:szCs w:val="24"/>
        </w:rPr>
        <w:t xml:space="preserve">Helwan University — Faculty of Computers &amp; Artificial Intelligence</w:t>
      </w:r>
    </w:p>
    <w:p>
      <w:pPr>
        <w:jc w:val="center"/>
      </w:pPr>
      <w:r>
        <w:rPr>
          <w:sz w:val="24"/>
          <w:szCs w:val="24"/>
        </w:rPr>
        <w:t xml:space="preserve">July 2026</w:t>
      </w:r>
    </w:p>
    <w:p>
      <w:r>
        <w:br w:type="page"/>
      </w:r>
    </w:p>
    <w:p>
      <w:pPr>
        <w:pStyle w:val="Heading1"/>
        <w:spacing w:after="150" w:before="300"/>
      </w:pPr>
      <w:r>
        <w:t xml:space="preserve">1. Purpose</w:t>
      </w:r>
    </w:p>
    <w:p>
      <w:pPr>
        <w:spacing w:after="120"/>
      </w:pPr>
      <w:r>
        <w:t xml:space="preserve">This document specifies how the deployed Rossmann Sales Forecasting model's performance is tracked and maintained over time: what is logged, how drift is detected, how the feedback loop closes, what triggers an alert, and what to do when one fires.</w:t>
      </w:r>
    </w:p>
    <w:p>
      <w:pPr>
        <w:pStyle w:val="Heading1"/>
        <w:spacing w:after="150" w:before="300"/>
      </w:pPr>
      <w:r>
        <w:t xml:space="preserve">2. Architecture Overview</w:t>
      </w:r>
    </w:p>
    <w:p>
      <w:pPr>
        <w:spacing w:after="120"/>
      </w:pPr>
      <w:r>
        <w:t xml:space="preserve">Every prediction — whether generated through the real-time Streamlit form (src/app.py) or the batch CLI (src/batch_predict.py) — is written to a single SQLite store, src/monitoring.db, giving one consistent audit trail regardless of entry point. A separate lightweight module, src/alerting.py, periodically evaluates that store against fixed thresholds and records any breach as an alert (also mirrored to src/alerts.log and, if configured, Slack/email). A dedicated Streamlit page, src/pages/1_Monitoring_Dashboard.py, visualizes all of this.</w:t>
      </w:r>
    </w:p>
    <w:p>
      <w:pPr>
        <w:spacing w:after="120"/>
      </w:pPr>
      <w:r>
        <w:rPr>
          <w:i/>
          <w:iCs/>
        </w:rPr>
        <w:t xml:space="preserve">Flow: prediction request → model inference → logged to monitoring.db → periodic drift/performance check → alert raised if thresholds breached → visible on Monitoring Dashboard and in the main app's sidebar "Model Health" widget.</w:t>
      </w:r>
    </w:p>
    <w:p>
      <w:pPr>
        <w:pStyle w:val="Heading1"/>
        <w:spacing w:after="150" w:before="300"/>
      </w:pPr>
      <w:r>
        <w:t xml:space="preserve">3. Prediction Logging</w:t>
      </w:r>
    </w:p>
    <w:p>
      <w:pPr>
        <w:spacing w:after="120"/>
      </w:pPr>
      <w:r>
        <w:t xml:space="preserve">Implemented in src/monitoring.py (class PredictionLogger). Schema of the predictions table: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00"/>
      </w:tblGrid>
      <w:tr>
        <w:tc>
          <w:tcPr>
            <w:tcW w:type="dxa" w:w="2200"/>
            <w:shd w:fill="1F3B2C" w:val="clear"/>
          </w:tcPr>
          <w:p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2200"/>
            <w:shd w:fill="1F3B2C" w:val="clear"/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4600"/>
            <w:shd w:fill="1F3B2C" w:val="clea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INTEGER PK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</w:rPr>
              <w:t xml:space="preserve">Auto-incrementing prediction ID, shown to the user after each forecast.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TEXT (ISO-8601, UTC)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</w:rPr>
              <w:t xml:space="preserve">When the prediction was made.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model_version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</w:rPr>
              <w:t xml:space="preserve">Model identifier, e.g. XGBoost_tuned.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inputs_json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TEXT (JSON)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</w:rPr>
              <w:t xml:space="preserve">All 19 model features for that request.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prediction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REAL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</w:rPr>
              <w:t xml:space="preserve">Predicted daily sales (€, after np.expm1 inverse transform).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actual_sales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REAL, nullable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</w:rPr>
              <w:t xml:space="preserve">Ground truth, filled in later via the feedback loop.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feedback_timestamp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TEXT, nullable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</w:rPr>
              <w:t xml:space="preserve">When the ground truth was logged.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A second table, alerts, stores every alert raised (timestamp, severity, source, message) so the dashboard's Alert History is queryable without re-parsing the log file.</w:t>
      </w:r>
    </w:p>
    <w:p>
      <w:pPr>
        <w:pStyle w:val="Heading1"/>
        <w:spacing w:after="150" w:before="300"/>
      </w:pPr>
      <w:r>
        <w:t xml:space="preserve">4. Drift Detection</w:t>
      </w:r>
    </w:p>
    <w:p>
      <w:pPr>
        <w:pStyle w:val="Heading2"/>
        <w:spacing w:after="100" w:before="200"/>
      </w:pPr>
      <w:r>
        <w:t xml:space="preserve">4.1 Method — Population Stability Index (PSI)</w:t>
      </w:r>
    </w:p>
    <w:p>
      <w:pPr>
        <w:spacing w:after="120"/>
      </w:pPr>
      <w:r>
        <w:t xml:space="preserve">For each of the 19 model features, the distribution of the most recent N production requests (default N = 200, adjustable in the dashboard) is compared to the training-time reference distribution using PSI:</w:t>
      </w:r>
    </w:p>
    <w:p>
      <w:pPr>
        <w:spacing w:after="120"/>
      </w:pPr>
      <w:r>
        <w:rPr>
          <w:i/>
          <w:iCs/>
        </w:rPr>
        <w:t xml:space="preserve">PSI = Σ (current_% − reference_%) × ln(current_% / reference_%)</w:t>
      </w:r>
    </w:p>
    <w:p>
      <w:pPr>
        <w:spacing w:after="120"/>
      </w:pPr>
      <w:r>
        <w:t xml:space="preserve">Numeric features are compared over training-derived quantile bins; categorical/binary features are compared over their category proportions.</w:t>
      </w:r>
    </w:p>
    <w:p>
      <w:pPr>
        <w:pStyle w:val="Heading2"/>
        <w:spacing w:after="100" w:before="200"/>
      </w:pPr>
      <w:r>
        <w:t xml:space="preserve">4.2 Thresholds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2800"/>
      </w:tblGrid>
      <w:tr>
        <w:tc>
          <w:tcPr>
            <w:tcW w:type="dxa" w:w="2400"/>
            <w:shd w:fill="1F3B2C" w:val="clear"/>
          </w:tcPr>
          <w:p>
            <w:r>
              <w:rPr>
                <w:b/>
                <w:bCs/>
                <w:color w:val="FFFFFF"/>
              </w:rPr>
              <w:t xml:space="preserve">PSI range</w:t>
            </w:r>
          </w:p>
        </w:tc>
        <w:tc>
          <w:tcPr>
            <w:tcW w:type="dxa" w:w="3800"/>
            <w:shd w:fill="1F3B2C" w:val="clear"/>
          </w:tcPr>
          <w:p>
            <w:r>
              <w:rPr>
                <w:b/>
                <w:bCs/>
                <w:color w:val="FFFFFF"/>
              </w:rPr>
              <w:t xml:space="preserve">Interpretation</w:t>
            </w:r>
          </w:p>
        </w:tc>
        <w:tc>
          <w:tcPr>
            <w:tcW w:type="dxa" w:w="2800"/>
            <w:shd w:fill="1F3B2C" w:val="clear"/>
          </w:tcPr>
          <w:p>
            <w:r>
              <w:rPr>
                <w:b/>
                <w:bCs/>
                <w:color w:val="FFFFFF"/>
              </w:rPr>
              <w:t xml:space="preserve">Dashboard status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&lt; 0.10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</w:rPr>
              <w:t xml:space="preserve">No meaningful shift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🟢 ok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0.10 – 0.25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</w:rPr>
              <w:t xml:space="preserve">Moderate shift — investigate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🟡 warning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≥ 0.25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</w:rPr>
              <w:t xml:space="preserve">Significant shift — retraining likely needed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🔴 critical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00" w:before="200"/>
      </w:pPr>
      <w:r>
        <w:t xml:space="preserve">4.3 Reference Distribution Source</w:t>
      </w:r>
    </w:p>
    <w:p>
      <w:pPr>
        <w:spacing w:after="120"/>
      </w:pPr>
      <w:r>
        <w:t xml:space="preserve">Reference statistics live in src/reference_stats.json, generated by src/reference_stats.py (also wired as a DVC pipeline stage, compute_reference_stats, in dvc.yaml, so the baseline is versioned and reproducible).</w:t>
      </w:r>
    </w:p>
    <w:p>
      <w:pPr>
        <w:spacing w:after="120"/>
      </w:pPr>
      <w:r>
        <w:t xml:space="preserve">Important caveat: the fully feature-engineered training table (featured_training_data_V2.parquet, referenced in README.md) was DVC-tracked but not present in the delivered project archive. Reference stats for features that map directly to raw columns — DayOfWeek, CompetitionDistance, StateHoliday, SchoolHoliday, Promo, Promo2, StoreType, Assortment — were computed from the available Data/Preprocessed/cleaned_training_data_V1.parquet. The remaining engineered features (Store_TargetEnc, Week, Year, IsWeekend, IsMonthStart, IsMonthEnd, CompetitionOpenMonths, Promo2ActiveWeeks, IsPromo2Active, CompetitionDistanceMissing, CompetitionOpenMissing) use assumed distributions built from the ranges already validated in src/app.py's FEATURE_RANGES, and are explicitly flagged "source": "assumed" in the JSON.</w:t>
      </w:r>
    </w:p>
    <w:p>
      <w:pPr>
        <w:spacing w:after="120"/>
      </w:pPr>
      <w:r>
        <w:rPr>
          <w:b/>
          <w:bCs/>
        </w:rPr>
        <w:t xml:space="preserve">Action item: once featured_training_data_V2.parquet is pulled via DVC, re-run python src/reference_stats.py against it and commit the refreshed reference_stats.json — this will replace every "assumed" entry with a true empirical distribution and make drift alerts fully reliable.</w:t>
      </w:r>
    </w:p>
    <w:p>
      <w:pPr>
        <w:pStyle w:val="Heading1"/>
        <w:spacing w:after="150" w:before="300"/>
      </w:pPr>
      <w:r>
        <w:t xml:space="preserve">5. Feedback Loop</w:t>
      </w:r>
    </w:p>
    <w:p>
      <w:pPr>
        <w:spacing w:after="120"/>
      </w:pPr>
      <w:r>
        <w:t xml:space="preserve">Model quality can only be measured once real outcomes are known. The main app exposes a "Log Actual Sales" expander where a store manager enters the prediction ID (shown after every forecast) and the actual sales figure once available; this calls monitoring.log_feedback(prediction_id, actual_sales), which fills in actual_sales and feedback_timestamp on that row. The batch CLI can be extended the same way for bulk feedback imports.</w:t>
      </w:r>
    </w:p>
    <w:p>
      <w:pPr>
        <w:spacing w:after="120"/>
      </w:pPr>
      <w:r>
        <w:t xml:space="preserve">This closes the loop: forecast → real outcome recorded → rolling accuracy recalculated → alerting re-evaluated → informs whether/when to retrain.</w:t>
      </w:r>
    </w:p>
    <w:p>
      <w:pPr>
        <w:pStyle w:val="Heading1"/>
        <w:spacing w:after="150" w:before="300"/>
      </w:pPr>
      <w:r>
        <w:t xml:space="preserve">6. Performance Monitoring</w:t>
      </w:r>
    </w:p>
    <w:p>
      <w:pPr>
        <w:spacing w:after="120"/>
      </w:pPr>
      <w:r>
        <w:t xml:space="preserve">src/monitoring.py.compute_performance() computes rolling MAE, RMSE and MAPE over every logged prediction that has received feedback, within a configurable window (default 500). These are compared against the training baseline on the dashboard (R² = 0.8306, MAE = €815.18, RMSE = €1,150.54, MAPE = 13.70%) so a manager can see at a glance whether live accuracy has degraded relative to training-time performance.</w:t>
      </w:r>
    </w:p>
    <w:p>
      <w:pPr>
        <w:pStyle w:val="Heading1"/>
        <w:spacing w:after="150" w:before="300"/>
      </w:pPr>
      <w:r>
        <w:t xml:space="preserve">7. Alerting System</w:t>
      </w:r>
    </w:p>
    <w:p>
      <w:pPr>
        <w:spacing w:after="120"/>
      </w:pPr>
      <w:r>
        <w:t xml:space="preserve">Implemented in src/alerting.py. Every check writes to the alerts table and src/alerts.log unconditionally; warning/critical alerts additionally attempt Slack and/or email delivery if configured. Both integrations fail silently (falling back to log-only) so a misconfigured webhook or SMTP server can never break the app.</w:t>
      </w:r>
    </w:p>
    <w:p>
      <w:pPr>
        <w:pStyle w:val="Heading2"/>
        <w:spacing w:after="100" w:before="200"/>
      </w:pPr>
      <w:r>
        <w:t xml:space="preserve">7.1 Thresholds (env-var overridable)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900"/>
        <w:gridCol w:w="3500"/>
      </w:tblGrid>
      <w:tr>
        <w:tc>
          <w:tcPr>
            <w:tcW w:type="dxa" w:w="2600"/>
            <w:shd w:fill="1F3B2C" w:val="clear"/>
          </w:tcPr>
          <w:p>
            <w:r>
              <w:rPr>
                <w:b/>
                <w:bCs/>
                <w:color w:val="FFFFFF"/>
              </w:rPr>
              <w:t xml:space="preserve">Variable</w:t>
            </w:r>
          </w:p>
        </w:tc>
        <w:tc>
          <w:tcPr>
            <w:tcW w:type="dxa" w:w="2900"/>
            <w:shd w:fill="1F3B2C" w:val="clear"/>
          </w:tcPr>
          <w:p>
            <w:r>
              <w:rPr>
                <w:b/>
                <w:bCs/>
                <w:color w:val="FFFFFF"/>
              </w:rPr>
              <w:t xml:space="preserve">Default</w:t>
            </w:r>
          </w:p>
        </w:tc>
        <w:tc>
          <w:tcPr>
            <w:tcW w:type="dxa" w:w="3500"/>
            <w:shd w:fill="1F3B2C" w:val="clear"/>
          </w:tcPr>
          <w:p>
            <w:r>
              <w:rPr>
                <w:b/>
                <w:bCs/>
                <w:color w:val="FFFFFF"/>
              </w:rPr>
              <w:t xml:space="preserve">Fires when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MAPE_ALERT_THRESHOLD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</w:rPr>
              <w:t xml:space="preserve">0.20 (20%)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</w:rPr>
              <w:t xml:space="preserve">Rolling MAPE over labeled predictions exceeds 20%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RMSE_ALERT_THRESHOLD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</w:rPr>
              <w:t xml:space="preserve">1725 (≈1.5× training RMSE)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</w:rPr>
              <w:t xml:space="preserve">Rolling RMSE exceeds €1,725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PSI_ALERT_THRESHOLD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</w:rPr>
              <w:t xml:space="preserve">0.25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</w:rPr>
              <w:t xml:space="preserve">Any feature's PSI reaches "critical" drift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00" w:before="200"/>
      </w:pPr>
      <w:r>
        <w:t xml:space="preserve">7.2 Optional External Channels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1F3B2C" w:val="clear"/>
          </w:tcPr>
          <w:p>
            <w:r>
              <w:rPr>
                <w:b/>
                <w:bCs/>
                <w:color w:val="FFFFFF"/>
              </w:rPr>
              <w:t xml:space="preserve">Channel</w:t>
            </w:r>
          </w:p>
        </w:tc>
        <w:tc>
          <w:tcPr>
            <w:tcW w:type="dxa" w:w="6000"/>
            <w:shd w:fill="1F3B2C" w:val="clear"/>
          </w:tcPr>
          <w:p>
            <w:r>
              <w:rPr>
                <w:b/>
                <w:bCs/>
                <w:color w:val="FFFFFF"/>
              </w:rPr>
              <w:t xml:space="preserve">Required environment variables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Slack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SLACK_WEBHOOK_URL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Email (SMTP)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SMTP_HOST, SMTP_USER, SMTP_PASSWORD, ALERT_EMAIL_TO (optional SMTP_PORT, default 587)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00" w:before="200"/>
      </w:pPr>
      <w:r>
        <w:t xml:space="preserve">7.3 When Checks Run</w:t>
      </w:r>
    </w:p>
    <w:p>
      <w:pPr>
        <w:spacing w:after="120"/>
      </w:pPr>
      <w:r>
        <w:t xml:space="preserve">Checks run automatically every 10th real-time prediction, on demand via the "Run drift &amp; performance checks now" button on the Monitoring Dashboard, and can be scheduled independently (e.g. a nightly cron job or CI/CD scheduled task) by running: python src/alerting.py</w:t>
      </w:r>
    </w:p>
    <w:p>
      <w:pPr>
        <w:pStyle w:val="Heading1"/>
        <w:spacing w:after="150" w:before="300"/>
      </w:pPr>
      <w:r>
        <w:t xml:space="preserve">8. Monitoring Dashboard</w:t>
      </w:r>
    </w:p>
    <w:p>
      <w:pPr>
        <w:spacing w:after="120"/>
      </w:pPr>
      <w:r>
        <w:t xml:space="preserve">src/pages/1_Monitoring_Dashboard.py (accessible via Streamlit's built-in page navigation once the app is launched with streamlit run src/app.py) provides: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Top-line KPIs: total predictions logged, predictions with feedback, live MAPE/RMSE vs. training baseline.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Prediction volume over time (hourly bar chart).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Per-feature PSI table and chart, with an adjustable comparison window.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Rolling MAE/MAPE line charts once feedback exists, plus a recent predictions-vs-actuals table.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Full alert history with severity color-coding.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manual "run checks now" button for on-demand drift/performance evaluation.</w:t>
      </w:r>
    </w:p>
    <w:p>
      <w:pPr>
        <w:pStyle w:val="Heading1"/>
        <w:spacing w:after="150" w:before="300"/>
      </w:pPr>
      <w:r>
        <w:t xml:space="preserve">9. Operational Runbook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shd w:fill="1F3B2C" w:val="clear"/>
          </w:tcPr>
          <w:p>
            <w:r>
              <w:rPr>
                <w:b/>
                <w:bCs/>
                <w:color w:val="FFFFFF"/>
              </w:rPr>
              <w:t xml:space="preserve">Alert</w:t>
            </w:r>
          </w:p>
        </w:tc>
        <w:tc>
          <w:tcPr>
            <w:tcW w:type="dxa" w:w="6400"/>
            <w:shd w:fill="1F3B2C" w:val="clear"/>
          </w:tcPr>
          <w:p>
            <w:r>
              <w:rPr>
                <w:b/>
                <w:bCs/>
                <w:color w:val="FFFFFF"/>
              </w:rPr>
              <w:t xml:space="preserve">Recommended action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Critical drift on one feature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</w:rPr>
              <w:t xml:space="preserve">Inspect recent inputs for that feature (e.g. new store types, unseen promo patterns); confirm upstream data pipeline is feeding correct values before assuming model failure.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Critical drift across many features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</w:rPr>
              <w:t xml:space="preserve">Likely an upstream data or seasonality shift (e.g. new sales season, new markets). Schedule retraining with recent data.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Rolling MAPE/RMSE alert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</w:rPr>
              <w:t xml:space="preserve">Cross-check against drift alerts — if inputs are stable but error is rising, investigate label quality/lag in the feedback loop before retraining.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No feedback logged for a long period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</w:rPr>
              <w:t xml:space="preserve">Not itself an alert, but the dashboard flags "n/a" for performance metrics — remind store managers to use the Log Actual Sales expander.</w:t>
            </w:r>
          </w:p>
        </w:tc>
      </w:tr>
    </w:tbl>
    <w:p>
      <w:pPr>
        <w:pStyle w:val="Heading1"/>
        <w:spacing w:after="150" w:before="300"/>
      </w:pPr>
      <w:r>
        <w:t xml:space="preserve">10. Limitations &amp; Future Work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Reference distributions for several engineered features are currently assumed rather than empirical — see §4.3. Priority #1 is regenerating them from the true feature-engineered dataset.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SQLite is adequate for the traffic volumes expected in this graduation-project deployment; production scale (per 21-deployment-strategy.md) would move prediction logging to a managed database and metrics to Prometheus/Grafana, with PagerDuty routing for alerts.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Automatic retraining triggers (rather than manual notebook-driven retraining) are a natural next step once sustained drift/performance alerts accumulate.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2026-07-09T18:54:15.046Z</dcterms:created>
  <dcterms:modified xsi:type="dcterms:W3CDTF">2026-07-09T18:54:15.047Z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