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40" w:before="480"/>
        <w:jc w:val="center"/>
      </w:pPr>
      <w:r>
        <w:rPr>
          <w:rFonts w:ascii="Times New Roman" w:cs="Times New Roman" w:eastAsia="Times New Roman" w:hAnsi="Times New Roman"/>
          <w:b/>
          <w:bCs/>
          <w:color w:val="1F4E79"/>
          <w:sz w:val="40"/>
          <w:szCs w:val="40"/>
        </w:rPr>
        <w:t xml:space="preserve">FORECASTING MODEL PERFORMANCE REPORT</w:t>
      </w:r>
    </w:p>
    <w:p>
      <w:pPr>
        <w:spacing w:after="120" w:before="120"/>
        <w:jc w:val="center"/>
      </w:pPr>
      <w:r>
        <w:rPr>
          <w:rFonts w:ascii="Times New Roman" w:cs="Times New Roman" w:eastAsia="Times New Roman" w:hAnsi="Times New Roman"/>
          <w:i/>
          <w:iCs/>
          <w:color w:val="333333"/>
          <w:sz w:val="28"/>
          <w:szCs w:val="28"/>
        </w:rPr>
        <w:t xml:space="preserve">Sales Forecasting &amp; Optimization Project</w:t>
      </w:r>
    </w:p>
    <w:p>
      <w:pPr>
        <w:spacing w:after="80" w:before="80"/>
        <w:jc w:val="center"/>
      </w:pPr>
      <w:r>
        <w:rPr>
          <w:rFonts w:ascii="Times New Roman" w:cs="Times New Roman" w:eastAsia="Times New Roman" w:hAnsi="Times New Roman"/>
          <w:color w:val="333333"/>
          <w:sz w:val="26"/>
          <w:szCs w:val="26"/>
        </w:rPr>
        <w:t xml:space="preserve">Rossmann Store Sales Dataset</w:t>
      </w:r>
    </w:p>
    <w:p>
      <w:pPr>
        <w:spacing w:after="80" w:before="80"/>
      </w:pPr>
      <w:r>
        <w:t xml:space="preserve"/>
      </w:r>
    </w:p>
    <w:p>
      <w:pPr>
        <w:pBdr>
          <w:bottom w:val="single" w:color="1F4E79" w:sz="6"/>
        </w:pBdr>
        <w:spacing w:after="240" w:before="80"/>
      </w:pPr>
    </w:p>
    <w:p>
      <w:pPr>
        <w:spacing w:after="80" w:before="80"/>
      </w:pPr>
      <w:r>
        <w:t xml:space="preserve"/>
      </w:r>
    </w:p>
    <w:p>
      <w:pPr>
        <w:jc w:val="center"/>
      </w:pPr>
      <w:r>
        <w:rPr>
          <w:rFonts w:ascii="Times New Roman" w:cs="Times New Roman" w:eastAsia="Times New Roman" w:hAnsi="Times New Roman"/>
          <w:color w:val="333333"/>
          <w:sz w:val="24"/>
          <w:szCs w:val="24"/>
        </w:rPr>
        <w:t xml:space="preserve">DEPI Round 4 — AI &amp; Data Science Track</w:t>
      </w:r>
    </w:p>
    <w:p>
      <w:pPr>
        <w:spacing w:after="80" w:before="80"/>
        <w:jc w:val="center"/>
      </w:pPr>
      <w:r>
        <w:rPr>
          <w:rFonts w:ascii="Times New Roman" w:cs="Times New Roman" w:eastAsia="Times New Roman" w:hAnsi="Times New Roman"/>
          <w:color w:val="333333"/>
          <w:sz w:val="24"/>
          <w:szCs w:val="24"/>
        </w:rPr>
        <w:t xml:space="preserve">Helwan University — Faculty of Computer Science &amp; AI</w:t>
      </w:r>
    </w:p>
    <w:p>
      <w:pPr>
        <w:spacing w:after="80" w:before="80"/>
        <w:jc w:val="center"/>
      </w:pPr>
      <w:r>
        <w:rPr>
          <w:rFonts w:ascii="Times New Roman" w:cs="Times New Roman" w:eastAsia="Times New Roman" w:hAnsi="Times New Roman"/>
          <w:color w:val="333333"/>
          <w:sz w:val="24"/>
          <w:szCs w:val="24"/>
        </w:rPr>
        <w:t xml:space="preserve">July 2026</w:t>
      </w:r>
    </w:p>
    <w:p>
      <w:r>
        <w:br w:type="page"/>
      </w:r>
    </w:p>
    <w:p>
      <w:pPr>
        <w:pBdr>
          <w:bottom w:val="single" w:color="1F4E79" w:sz="6"/>
        </w:pBdr>
        <w:spacing w:after="160" w:before="320"/>
      </w:pPr>
      <w:r>
        <w:rPr>
          <w:rFonts w:ascii="Times New Roman" w:cs="Times New Roman" w:eastAsia="Times New Roman" w:hAnsi="Times New Roman"/>
          <w:b/>
          <w:bCs/>
          <w:color w:val="1F4E79"/>
          <w:sz w:val="32"/>
          <w:szCs w:val="32"/>
        </w:rPr>
        <w:t xml:space="preserve">1. Executive Summary</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This report presents a comprehensive evaluation of the machine learning models developed for the Rossmann Store Sales Forecasting project. Two gradient boosting models were trained, tuned, and compared: LightGBM and XGBoost. Both models were built on a dataset of 844,338 daily sales records across 1,115 retail stores in Germany.</w:t>
      </w:r>
    </w:p>
    <w:p>
      <w:pPr>
        <w:spacing w:after="80" w:before="8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primary objective of this report is to document model performance, compare key evaluation metrics, justify the selection of the best-performing model, and provide an analysis of residuals to validate that no significant patterns remain unexplained by the model.</w:t>
      </w:r>
    </w:p>
    <w:p>
      <w:pPr>
        <w:spacing w:after="80" w:before="8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After systematic hyperparameter tuning using RandomizedSearchCV, XGBoost was identified as the best-performing model, achieving an R² of 0.8306, a MAE of 815.18€, and a MAPE of 13.70% on unseen test data.</w:t>
      </w:r>
    </w:p>
    <w:p>
      <w:pPr>
        <w:spacing w:after="80" w:before="80"/>
      </w:pPr>
      <w:r>
        <w:t xml:space="preserve"/>
      </w:r>
    </w:p>
    <w:p>
      <w:pPr>
        <w:pBdr>
          <w:bottom w:val="single" w:color="1F4E79" w:sz="6"/>
        </w:pBdr>
        <w:spacing w:after="160" w:before="320"/>
      </w:pPr>
      <w:r>
        <w:rPr>
          <w:rFonts w:ascii="Times New Roman" w:cs="Times New Roman" w:eastAsia="Times New Roman" w:hAnsi="Times New Roman"/>
          <w:b/>
          <w:bCs/>
          <w:color w:val="1F4E79"/>
          <w:sz w:val="32"/>
          <w:szCs w:val="32"/>
        </w:rPr>
        <w:t xml:space="preserve">2. Dataset Overview</w:t>
      </w:r>
    </w:p>
    <w:p>
      <w:pPr>
        <w:spacing w:after="120" w:before="240"/>
      </w:pPr>
      <w:r>
        <w:rPr>
          <w:rFonts w:ascii="Times New Roman" w:cs="Times New Roman" w:eastAsia="Times New Roman" w:hAnsi="Times New Roman"/>
          <w:b/>
          <w:bCs/>
          <w:color w:val="1F4E79"/>
          <w:sz w:val="28"/>
          <w:szCs w:val="28"/>
        </w:rPr>
        <w:t xml:space="preserve">2.1 Data Source</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dataset used in this project is the Rossmann Store Sales dataset, sourced from Kaggle. It contains historical daily sales data for 1,115 Rossmann stores across Germany, spanning from January 2013 to July 2015.</w:t>
      </w:r>
    </w:p>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2.2 Dataset Statistics</w:t>
      </w:r>
    </w:p>
    <w:p>
      <w:pPr>
        <w:spacing w:after="8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40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Attribute</w:t>
            </w:r>
          </w:p>
        </w:tc>
        <w:tc>
          <w:tcPr>
            <w:tcW w:type="dxa" w:w="40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Value</w:t>
            </w:r>
          </w:p>
        </w:tc>
      </w:tr>
      <w:tr>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Total Records</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844,338</w:t>
            </w:r>
          </w:p>
        </w:tc>
      </w:tr>
      <w:tr>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Number of Stores</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1,115</w:t>
            </w:r>
          </w:p>
        </w:tc>
      </w:tr>
      <w:tr>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Date Range</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Jan 2013 – Jul 2015</w:t>
            </w:r>
          </w:p>
        </w:tc>
      </w:tr>
      <w:tr>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Number of Features (after engineering)</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19</w:t>
            </w:r>
          </w:p>
        </w:tc>
      </w:tr>
      <w:tr>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Target Variable</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Sales (log-transformed)</w:t>
            </w:r>
          </w:p>
        </w:tc>
      </w:tr>
      <w:tr>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Training Set Size</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717,687 records (85%)</w:t>
            </w:r>
          </w:p>
        </w:tc>
      </w:tr>
      <w:tr>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Test Set Size</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126,651 records (15%)</w:t>
            </w:r>
          </w:p>
        </w:tc>
      </w:tr>
    </w:tbl>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2.3 Target Variable</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target variable Sales was log-transformed using np.log() during the data cleaning phase to normalize the right-skewed distribution. All model predictions are made in log scale and converted back to Euro values using np.expm1() for evaluation and reporting purposes.</w:t>
      </w:r>
    </w:p>
    <w:p>
      <w:pPr>
        <w:spacing w:after="80" w:before="80"/>
      </w:pPr>
      <w:r>
        <w:t xml:space="preserve"/>
      </w:r>
    </w:p>
    <w:p>
      <w:pPr>
        <w:pBdr>
          <w:bottom w:val="single" w:color="1F4E79" w:sz="6"/>
        </w:pBdr>
        <w:spacing w:after="160" w:before="320"/>
      </w:pPr>
      <w:r>
        <w:rPr>
          <w:rFonts w:ascii="Times New Roman" w:cs="Times New Roman" w:eastAsia="Times New Roman" w:hAnsi="Times New Roman"/>
          <w:b/>
          <w:bCs/>
          <w:color w:val="1F4E79"/>
          <w:sz w:val="32"/>
          <w:szCs w:val="32"/>
        </w:rPr>
        <w:t xml:space="preserve">3. Feature Engineering Summary</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following 19 features were engineered and used as model inputs:</w:t>
      </w:r>
    </w:p>
    <w:p>
      <w:pPr>
        <w:spacing w:after="8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Feature</w:t>
            </w:r>
          </w:p>
        </w:tc>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Type</w:t>
            </w:r>
          </w:p>
        </w:tc>
        <w:tc>
          <w:tcPr>
            <w:tcW w:type="dxa" w:w="40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Description</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Store_TargetEnc</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float32</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Store ID encoded by mean sales — captures per-store sales level</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DayOfWeek</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Day of the week (1=Mon, 7=Sun)</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CompetitionDistance</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float32</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Distance to nearest competitor store (meters)</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CompetitionDistanceMissing</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Flag: 1 if CompetitionDistance was missing</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CompetitionOpenMissing</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Flag: 1 if competition opening date was missing</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StateHoliday</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Type of state holiday (label encoded)</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SchoolHoliday</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Binary: school holiday on this date</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Promo</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Binary: promotional event active</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Promo2</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Binary: running a continuous promotion</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StoreType</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Store category (a/b/c/d — label encoded)</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Assortment</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Product assortment level (a/b/c — label encoded)</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Year</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int16</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Year extracted from date</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Week</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ISO week number</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IsWeekend</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Binary: Saturday or Sunday</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IsMonthStart</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Binary: first day of the month</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IsMonthEnd</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Binary: last day of the month</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CompetitionOpenMonths</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float32</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Months since competitor opened</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Promo2ActiveWeeks</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float32</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Weeks since Promo2 started</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IsPromo2Active</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int8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Binary: Promo2 active in current month</w:t>
            </w:r>
          </w:p>
        </w:tc>
      </w:tr>
    </w:tbl>
    <w:p>
      <w:r>
        <w:br w:type="page"/>
      </w:r>
    </w:p>
    <w:p>
      <w:pPr>
        <w:pBdr>
          <w:bottom w:val="single" w:color="1F4E79" w:sz="6"/>
        </w:pBdr>
        <w:spacing w:after="160" w:before="320"/>
      </w:pPr>
      <w:r>
        <w:rPr>
          <w:rFonts w:ascii="Times New Roman" w:cs="Times New Roman" w:eastAsia="Times New Roman" w:hAnsi="Times New Roman"/>
          <w:b/>
          <w:bCs/>
          <w:color w:val="1F4E79"/>
          <w:sz w:val="32"/>
          <w:szCs w:val="32"/>
        </w:rPr>
        <w:t xml:space="preserve">4. Train/Test Split Strategy</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Given the time-series nature of the data, a chronological split was applied rather than a random split. This approach prevents data leakage, where the model would otherwise be exposed to future information during training, leading to falsely inflated performance scores.</w:t>
      </w:r>
    </w:p>
    <w:p>
      <w:pPr>
        <w:spacing w:after="80" w:before="80"/>
      </w:pPr>
      <w:r>
        <w:t xml:space="preserve"/>
      </w:r>
    </w:p>
    <w:p>
      <w:pPr>
        <w:spacing w:after="60" w:before="60"/>
        <w:ind w:left="360"/>
      </w:pPr>
      <w:r>
        <w:rPr>
          <w:rFonts w:ascii="Times New Roman" w:cs="Times New Roman" w:eastAsia="Times New Roman" w:hAnsi="Times New Roman"/>
          <w:color w:val="000000"/>
          <w:sz w:val="24"/>
          <w:szCs w:val="24"/>
        </w:rPr>
        <w:t xml:space="preserve">• Train Set: First 85% of records (ordered by date) — 717,687 samples</w:t>
      </w:r>
    </w:p>
    <w:p>
      <w:pPr>
        <w:spacing w:after="60" w:before="60"/>
        <w:ind w:left="360"/>
      </w:pPr>
      <w:r>
        <w:rPr>
          <w:rFonts w:ascii="Times New Roman" w:cs="Times New Roman" w:eastAsia="Times New Roman" w:hAnsi="Times New Roman"/>
          <w:color w:val="000000"/>
          <w:sz w:val="24"/>
          <w:szCs w:val="24"/>
        </w:rPr>
        <w:t xml:space="preserve">• Test Set: Last 15% of records (most recent dates) — 126,651 samples</w:t>
      </w:r>
    </w:p>
    <w:p>
      <w:pPr>
        <w:spacing w:after="80" w:before="8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This strategy ensures that the model is always evaluated on data it has never seen during training, simulating a real-world deployment scenario where predictions are made for future dates.</w:t>
      </w:r>
    </w:p>
    <w:p>
      <w:pPr>
        <w:spacing w:after="80" w:before="80"/>
      </w:pPr>
      <w:r>
        <w:t xml:space="preserve"/>
      </w:r>
    </w:p>
    <w:p>
      <w:pPr>
        <w:pBdr>
          <w:bottom w:val="single" w:color="1F4E79" w:sz="6"/>
        </w:pBdr>
        <w:spacing w:after="160" w:before="320"/>
      </w:pPr>
      <w:r>
        <w:rPr>
          <w:rFonts w:ascii="Times New Roman" w:cs="Times New Roman" w:eastAsia="Times New Roman" w:hAnsi="Times New Roman"/>
          <w:b/>
          <w:bCs/>
          <w:color w:val="1F4E79"/>
          <w:sz w:val="32"/>
          <w:szCs w:val="32"/>
        </w:rPr>
        <w:t xml:space="preserve">5. Model Training</w:t>
      </w:r>
    </w:p>
    <w:p>
      <w:pPr>
        <w:spacing w:after="120" w:before="240"/>
      </w:pPr>
      <w:r>
        <w:rPr>
          <w:rFonts w:ascii="Times New Roman" w:cs="Times New Roman" w:eastAsia="Times New Roman" w:hAnsi="Times New Roman"/>
          <w:b/>
          <w:bCs/>
          <w:color w:val="1F4E79"/>
          <w:sz w:val="28"/>
          <w:szCs w:val="28"/>
        </w:rPr>
        <w:t xml:space="preserve">5.1 Pipeline Architecture</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Both models were wrapped in a Scikit-learn Pipeline consisting of two stages:</w:t>
      </w:r>
    </w:p>
    <w:p>
      <w:pPr>
        <w:spacing w:after="60" w:before="60"/>
        <w:ind w:left="360"/>
      </w:pPr>
      <w:r>
        <w:rPr>
          <w:rFonts w:ascii="Times New Roman" w:cs="Times New Roman" w:eastAsia="Times New Roman" w:hAnsi="Times New Roman"/>
          <w:color w:val="000000"/>
          <w:sz w:val="24"/>
          <w:szCs w:val="24"/>
        </w:rPr>
        <w:t xml:space="preserve">• StandardScaler: Standardizes all numerical features to zero mean and unit variance.</w:t>
      </w:r>
    </w:p>
    <w:p>
      <w:pPr>
        <w:spacing w:after="60" w:before="60"/>
        <w:ind w:left="360"/>
      </w:pPr>
      <w:r>
        <w:rPr>
          <w:rFonts w:ascii="Times New Roman" w:cs="Times New Roman" w:eastAsia="Times New Roman" w:hAnsi="Times New Roman"/>
          <w:color w:val="000000"/>
          <w:sz w:val="24"/>
          <w:szCs w:val="24"/>
        </w:rPr>
        <w:t xml:space="preserve">• Regressor: Either LGBMRegressor or XGBRegressor.</w:t>
      </w:r>
    </w:p>
    <w:p>
      <w:pPr>
        <w:spacing w:after="80" w:before="8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pipeline ensures that the same preprocessing transformations are applied consistently during both training and inference, preventing any data leakage from the scaler.</w:t>
      </w:r>
    </w:p>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5.2 Hyperparameter Tuning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RandomizedSearchCV was applied to both models over 10 iterations with 3-fold cross-validation, scoring on R². The best parameters identified from the search were then used to train the final models:</w:t>
      </w:r>
    </w:p>
    <w:p>
      <w:pPr>
        <w:spacing w:after="80" w:before="80"/>
      </w:pPr>
      <w:r>
        <w:t xml:space="preserve"/>
      </w:r>
    </w:p>
    <w:p>
      <w:pPr>
        <w:spacing w:after="100" w:before="200"/>
      </w:pPr>
      <w:r>
        <w:rPr>
          <w:rFonts w:ascii="Times New Roman" w:cs="Times New Roman" w:eastAsia="Times New Roman" w:hAnsi="Times New Roman"/>
          <w:b/>
          <w:bCs/>
          <w:color w:val="333333"/>
          <w:sz w:val="26"/>
          <w:szCs w:val="26"/>
        </w:rPr>
        <w:t xml:space="preserve">LightGBM — Final Parameters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Parameter</w:t>
            </w:r>
          </w:p>
        </w:tc>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Value</w:t>
            </w:r>
          </w:p>
        </w:tc>
        <w:tc>
          <w:tcPr>
            <w:tcW w:type="dxa" w:w="40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Purpose</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n_estimators</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1500</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Number of boosting trees</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learning_rate</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0.03</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Step size — smaller = more precise but slower</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num_leaves</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63</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Controls model complexity</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max_depth</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-1</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No depth limit (controlled by num_leaves)</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subsample</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0.9</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90% of training data per tree — reduces overfitting</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min_child_samples</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10</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Minimum samples per leaf node</w:t>
            </w:r>
          </w:p>
        </w:tc>
      </w:tr>
    </w:tbl>
    <w:p>
      <w:pPr>
        <w:spacing w:after="80" w:before="80"/>
      </w:pPr>
      <w:r>
        <w:t xml:space="preserve"/>
      </w:r>
    </w:p>
    <w:p>
      <w:pPr>
        <w:spacing w:after="100" w:before="200"/>
      </w:pPr>
      <w:r>
        <w:rPr>
          <w:rFonts w:ascii="Times New Roman" w:cs="Times New Roman" w:eastAsia="Times New Roman" w:hAnsi="Times New Roman"/>
          <w:b/>
          <w:bCs/>
          <w:color w:val="333333"/>
          <w:sz w:val="26"/>
          <w:szCs w:val="26"/>
        </w:rPr>
        <w:t xml:space="preserve">XGBoost — Final Parameters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Parameter</w:t>
            </w:r>
          </w:p>
        </w:tc>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Value</w:t>
            </w:r>
          </w:p>
        </w:tc>
        <w:tc>
          <w:tcPr>
            <w:tcW w:type="dxa" w:w="40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Purpose</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n_estimators</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1000</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Number of boosting trees</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learning_rate</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0.03</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Step size — smaller = more precise</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max_depth</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Maximum depth of each tree</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subsample</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0.7</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70% of training data per tree</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colsample_bytree</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0.8</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80% of features per tree — reduces overfitting</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min_child_weight</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20</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Minimum sum of instance weight per leaf</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tree_method</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hist</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Histogram-based algorithm — faster training</w:t>
            </w:r>
          </w:p>
        </w:tc>
      </w:tr>
    </w:tbl>
    <w:p>
      <w:r>
        <w:br w:type="page"/>
      </w:r>
    </w:p>
    <w:p>
      <w:pPr>
        <w:pBdr>
          <w:bottom w:val="single" w:color="1F4E79" w:sz="6"/>
        </w:pBdr>
        <w:spacing w:after="160" w:before="320"/>
      </w:pPr>
      <w:r>
        <w:rPr>
          <w:rFonts w:ascii="Times New Roman" w:cs="Times New Roman" w:eastAsia="Times New Roman" w:hAnsi="Times New Roman"/>
          <w:b/>
          <w:bCs/>
          <w:color w:val="1F4E79"/>
          <w:sz w:val="32"/>
          <w:szCs w:val="32"/>
        </w:rPr>
        <w:t xml:space="preserve">6. Evaluation Metrics</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Models were evaluated on two scales to provide both technical accuracy and business-level interpretability:</w:t>
      </w:r>
    </w:p>
    <w:p>
      <w:pPr>
        <w:spacing w:after="80" w:before="80"/>
      </w:pPr>
      <w:r>
        <w:t xml:space="preserve"/>
      </w:r>
    </w:p>
    <w:p>
      <w:pPr>
        <w:spacing w:after="60" w:before="60"/>
        <w:ind w:left="360"/>
      </w:pPr>
      <w:r>
        <w:rPr>
          <w:rFonts w:ascii="Times New Roman" w:cs="Times New Roman" w:eastAsia="Times New Roman" w:hAnsi="Times New Roman"/>
          <w:color w:val="000000"/>
          <w:sz w:val="24"/>
          <w:szCs w:val="24"/>
        </w:rPr>
        <w:t xml:space="preserve">• Log Scale: MAE, RMSE, R² — computed on the log-transformed target as trained.</w:t>
      </w:r>
    </w:p>
    <w:p>
      <w:pPr>
        <w:spacing w:after="60" w:before="60"/>
        <w:ind w:left="360"/>
      </w:pPr>
      <w:r>
        <w:rPr>
          <w:rFonts w:ascii="Times New Roman" w:cs="Times New Roman" w:eastAsia="Times New Roman" w:hAnsi="Times New Roman"/>
          <w:color w:val="000000"/>
          <w:sz w:val="24"/>
          <w:szCs w:val="24"/>
        </w:rPr>
        <w:t xml:space="preserve">• Original Scale (€): MAE, RMSE, MAPE — computed after reversing the log transform using np.expm1().</w:t>
      </w:r>
    </w:p>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6.1 Metric Definitions</w:t>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Metric</w:t>
            </w:r>
          </w:p>
        </w:tc>
        <w:tc>
          <w:tcPr>
            <w:tcW w:type="dxa" w:w="2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Formula</w:t>
            </w:r>
          </w:p>
        </w:tc>
        <w:tc>
          <w:tcPr>
            <w:tcW w:type="dxa" w:w="40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Interpretation</w:t>
            </w:r>
          </w:p>
        </w:tc>
      </w:tr>
      <w:tr>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MAE</w:t>
            </w:r>
          </w:p>
        </w:tc>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Mean of |y_true - y_pred|</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Average absolute error per prediction in Euros</w:t>
            </w:r>
          </w:p>
        </w:tc>
      </w:tr>
      <w:tr>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RMSE</w:t>
            </w:r>
          </w:p>
        </w:tc>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√Mean of (y_true - y_pred)²</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Penalizes large errors more heavily</w:t>
            </w:r>
          </w:p>
        </w:tc>
      </w:tr>
      <w:tr>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R²</w:t>
            </w:r>
          </w:p>
        </w:tc>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1 - SS_res / SS_tot</w:t>
            </w:r>
          </w:p>
        </w:tc>
        <w:tc>
          <w:tcPr>
            <w:tcW w:type="dxa" w:w="40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Proportion of variance explained (1 = perfect)</w:t>
            </w:r>
          </w:p>
        </w:tc>
      </w:tr>
      <w:tr>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MAPE</w:t>
            </w:r>
          </w:p>
        </w:tc>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Mean of |y_true - y_pred| / y_true × 100</w:t>
            </w:r>
          </w:p>
        </w:tc>
        <w:tc>
          <w:tcPr>
            <w:tcW w:type="dxa" w:w="40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Error as % of actual sales — scale-independent</w:t>
            </w:r>
          </w:p>
        </w:tc>
      </w:tr>
    </w:tbl>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6.2 Model Performance Results</w:t>
      </w:r>
    </w:p>
    <w:p>
      <w:pPr>
        <w:spacing w:after="80" w:before="80"/>
      </w:pPr>
      <w:r>
        <w:t xml:space="preserve"/>
      </w:r>
    </w:p>
    <w:p>
      <w:pPr>
        <w:spacing w:after="100" w:before="200"/>
      </w:pPr>
      <w:r>
        <w:rPr>
          <w:rFonts w:ascii="Times New Roman" w:cs="Times New Roman" w:eastAsia="Times New Roman" w:hAnsi="Times New Roman"/>
          <w:b/>
          <w:bCs/>
          <w:color w:val="333333"/>
          <w:sz w:val="26"/>
          <w:szCs w:val="26"/>
        </w:rPr>
        <w:t xml:space="preserve">Log Scale Results</w:t>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Model</w:t>
            </w:r>
          </w:p>
        </w:tc>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MAE</w:t>
            </w:r>
          </w:p>
        </w:tc>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RMSE</w:t>
            </w:r>
          </w:p>
        </w:tc>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R²</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LightGBM_tuned</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0.1350</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0.1890</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0.8225</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XGBoost_tuned</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0.1285</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0.1792</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0.8306</w:t>
            </w:r>
          </w:p>
        </w:tc>
      </w:tr>
    </w:tbl>
    <w:p>
      <w:pPr>
        <w:spacing w:after="80" w:before="80"/>
      </w:pPr>
      <w:r>
        <w:t xml:space="preserve"/>
      </w:r>
    </w:p>
    <w:p>
      <w:pPr>
        <w:spacing w:after="100" w:before="200"/>
      </w:pPr>
      <w:r>
        <w:rPr>
          <w:rFonts w:ascii="Times New Roman" w:cs="Times New Roman" w:eastAsia="Times New Roman" w:hAnsi="Times New Roman"/>
          <w:b/>
          <w:bCs/>
          <w:color w:val="333333"/>
          <w:sz w:val="26"/>
          <w:szCs w:val="26"/>
        </w:rPr>
        <w:t xml:space="preserve">Original Scale Results (€)</w:t>
      </w:r>
    </w:p>
    <w:tbl>
      <w:tblPr>
        <w:tblW w:type="dxa" w:w="7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Model</w:t>
            </w:r>
          </w:p>
        </w:tc>
        <w:tc>
          <w:tcPr>
            <w:tcW w:type="dxa" w:w="1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MAE (€)</w:t>
            </w:r>
          </w:p>
        </w:tc>
        <w:tc>
          <w:tcPr>
            <w:tcW w:type="dxa" w:w="18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RMSE (€)</w:t>
            </w:r>
          </w:p>
        </w:tc>
        <w:tc>
          <w:tcPr>
            <w:tcW w:type="dxa" w:w="12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MAPE (%)</w:t>
            </w:r>
          </w:p>
        </w:tc>
      </w:tr>
      <w:tr>
        <w:tc>
          <w:tcPr>
            <w:tcW w:type="dxa" w:w="2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LightGBM_tuned</w:t>
            </w:r>
          </w:p>
        </w:tc>
        <w:tc>
          <w:tcPr>
            <w:tcW w:type="dxa" w:w="1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839.31</w:t>
            </w:r>
          </w:p>
        </w:tc>
        <w:tc>
          <w:tcPr>
            <w:tcW w:type="dxa" w:w="18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1,200.21</w:t>
            </w:r>
          </w:p>
        </w:tc>
        <w:tc>
          <w:tcPr>
            <w:tcW w:type="dxa" w:w="12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13.72%</w:t>
            </w:r>
          </w:p>
        </w:tc>
      </w:tr>
      <w:tr>
        <w:tc>
          <w:tcPr>
            <w:tcW w:type="dxa" w:w="2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XGBoost_tuned</w:t>
            </w:r>
          </w:p>
        </w:tc>
        <w:tc>
          <w:tcPr>
            <w:tcW w:type="dxa" w:w="1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815.18</w:t>
            </w:r>
          </w:p>
        </w:tc>
        <w:tc>
          <w:tcPr>
            <w:tcW w:type="dxa" w:w="18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1,150.54</w:t>
            </w:r>
          </w:p>
        </w:tc>
        <w:tc>
          <w:tcPr>
            <w:tcW w:type="dxa" w:w="12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13.70%</w:t>
            </w:r>
          </w:p>
        </w:tc>
      </w:tr>
    </w:tbl>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6.3 Performance Analysis</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XGBoost outperformed LightGBM across all evaluation metrics on the test set. The differences, while not extreme, are consistent and meaningful in a business context:</w:t>
      </w:r>
    </w:p>
    <w:p>
      <w:pPr>
        <w:spacing w:after="80" w:before="80"/>
      </w:pPr>
      <w:r>
        <w:t xml:space="preserve"/>
      </w:r>
    </w:p>
    <w:p>
      <w:pPr>
        <w:spacing w:after="60" w:before="60"/>
        <w:ind w:left="360"/>
      </w:pPr>
      <w:r>
        <w:rPr>
          <w:rFonts w:ascii="Times New Roman" w:cs="Times New Roman" w:eastAsia="Times New Roman" w:hAnsi="Times New Roman"/>
          <w:color w:val="000000"/>
          <w:sz w:val="24"/>
          <w:szCs w:val="24"/>
        </w:rPr>
        <w:t xml:space="preserve">• R² improvement: +0.0081 — XGBoost explains 0.81% more variance in sales.</w:t>
      </w:r>
    </w:p>
    <w:p>
      <w:pPr>
        <w:spacing w:after="60" w:before="60"/>
        <w:ind w:left="360"/>
      </w:pPr>
      <w:r>
        <w:rPr>
          <w:rFonts w:ascii="Times New Roman" w:cs="Times New Roman" w:eastAsia="Times New Roman" w:hAnsi="Times New Roman"/>
          <w:color w:val="000000"/>
          <w:sz w:val="24"/>
          <w:szCs w:val="24"/>
        </w:rPr>
        <w:t xml:space="preserve">• MAE improvement: -24.13€ — XGBoost is on average 24€ more accurate per daily prediction.</w:t>
      </w:r>
    </w:p>
    <w:p>
      <w:pPr>
        <w:spacing w:after="60" w:before="60"/>
        <w:ind w:left="360"/>
      </w:pPr>
      <w:r>
        <w:rPr>
          <w:rFonts w:ascii="Times New Roman" w:cs="Times New Roman" w:eastAsia="Times New Roman" w:hAnsi="Times New Roman"/>
          <w:color w:val="000000"/>
          <w:sz w:val="24"/>
          <w:szCs w:val="24"/>
        </w:rPr>
        <w:t xml:space="preserve">• RMSE improvement: -49.67€ — XGBoost handles large errors better.</w:t>
      </w:r>
    </w:p>
    <w:p>
      <w:pPr>
        <w:spacing w:after="60" w:before="60"/>
        <w:ind w:left="360"/>
      </w:pPr>
      <w:r>
        <w:rPr>
          <w:rFonts w:ascii="Times New Roman" w:cs="Times New Roman" w:eastAsia="Times New Roman" w:hAnsi="Times New Roman"/>
          <w:color w:val="000000"/>
          <w:sz w:val="24"/>
          <w:szCs w:val="24"/>
        </w:rPr>
        <w:t xml:space="preserve">• MAPE improvement: -0.02% — marginal but consistent.</w:t>
      </w:r>
    </w:p>
    <w:p>
      <w:pPr>
        <w:spacing w:after="80" w:before="8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RMSE gap of ~50€ is particularly notable because RMSE penalizes large errors quadratically — meaning XGBoost handles peak sales days and outlier stores significantly better than LightGBM.</w:t>
      </w:r>
    </w:p>
    <w:p>
      <w:r>
        <w:br w:type="page"/>
      </w:r>
    </w:p>
    <w:p>
      <w:pPr>
        <w:pBdr>
          <w:bottom w:val="single" w:color="1F4E79" w:sz="6"/>
        </w:pBdr>
        <w:spacing w:after="160" w:before="320"/>
      </w:pPr>
      <w:r>
        <w:rPr>
          <w:rFonts w:ascii="Times New Roman" w:cs="Times New Roman" w:eastAsia="Times New Roman" w:hAnsi="Times New Roman"/>
          <w:b/>
          <w:bCs/>
          <w:color w:val="1F4E79"/>
          <w:sz w:val="32"/>
          <w:szCs w:val="32"/>
        </w:rPr>
        <w:t xml:space="preserve">7. Residuals Analysis</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Residuals (y_true - y_pred) were plotted for the first 500 test samples to verify that no systematic patterns remain unexplained by the model.</w:t>
      </w:r>
    </w:p>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7.1 Observations</w:t>
      </w:r>
    </w:p>
    <w:p>
      <w:pPr>
        <w:spacing w:after="60" w:before="60"/>
        <w:ind w:left="360"/>
      </w:pPr>
      <w:r>
        <w:rPr>
          <w:rFonts w:ascii="Times New Roman" w:cs="Times New Roman" w:eastAsia="Times New Roman" w:hAnsi="Times New Roman"/>
          <w:color w:val="000000"/>
          <w:sz w:val="24"/>
          <w:szCs w:val="24"/>
        </w:rPr>
        <w:t xml:space="preserve">• Residuals are centered around zero — no consistent over- or under-prediction bias.</w:t>
      </w:r>
    </w:p>
    <w:p>
      <w:pPr>
        <w:spacing w:after="60" w:before="60"/>
        <w:ind w:left="360"/>
      </w:pPr>
      <w:r>
        <w:rPr>
          <w:rFonts w:ascii="Times New Roman" w:cs="Times New Roman" w:eastAsia="Times New Roman" w:hAnsi="Times New Roman"/>
          <w:color w:val="000000"/>
          <w:sz w:val="24"/>
          <w:szCs w:val="24"/>
        </w:rPr>
        <w:t xml:space="preserve">• No visible trend or cyclical pattern — model captures the temporal structure well.</w:t>
      </w:r>
    </w:p>
    <w:p>
      <w:pPr>
        <w:spacing w:after="60" w:before="60"/>
        <w:ind w:left="360"/>
      </w:pPr>
      <w:r>
        <w:rPr>
          <w:rFonts w:ascii="Times New Roman" w:cs="Times New Roman" w:eastAsia="Times New Roman" w:hAnsi="Times New Roman"/>
          <w:color w:val="000000"/>
          <w:sz w:val="24"/>
          <w:szCs w:val="24"/>
        </w:rPr>
        <w:t xml:space="preserve">• Occasional large spikes (e.g., -0.8 around index 220) — correspond to atypical sales events such as store-specific promotions or public holidays that are inherently difficult to predict.</w:t>
      </w:r>
    </w:p>
    <w:p>
      <w:pPr>
        <w:spacing w:after="80" w:before="80"/>
      </w:pPr>
      <w:r>
        <w:t xml:space="preserve"/>
      </w:r>
    </w:p>
    <w:p>
      <w:pPr>
        <w:spacing w:after="120" w:before="240"/>
      </w:pPr>
      <w:r>
        <w:rPr>
          <w:rFonts w:ascii="Times New Roman" w:cs="Times New Roman" w:eastAsia="Times New Roman" w:hAnsi="Times New Roman"/>
          <w:b/>
          <w:bCs/>
          <w:color w:val="1F4E79"/>
          <w:sz w:val="28"/>
          <w:szCs w:val="28"/>
        </w:rPr>
        <w:t xml:space="preserve">7.2 Interpretation</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A well-behaved residuals plot with no systematic patterns confirms that the model has successfully captured the main drivers of sales variance. The remaining unexplained variance is primarily attributable to:</w:t>
      </w:r>
    </w:p>
    <w:p>
      <w:pPr>
        <w:spacing w:after="60" w:before="60"/>
        <w:ind w:left="360"/>
      </w:pPr>
      <w:r>
        <w:rPr>
          <w:rFonts w:ascii="Times New Roman" w:cs="Times New Roman" w:eastAsia="Times New Roman" w:hAnsi="Times New Roman"/>
          <w:color w:val="000000"/>
          <w:sz w:val="24"/>
          <w:szCs w:val="24"/>
        </w:rPr>
        <w:t xml:space="preserve">• Rare store-specific events not present in the training features.</w:t>
      </w:r>
    </w:p>
    <w:p>
      <w:pPr>
        <w:spacing w:after="60" w:before="60"/>
        <w:ind w:left="360"/>
      </w:pPr>
      <w:r>
        <w:rPr>
          <w:rFonts w:ascii="Times New Roman" w:cs="Times New Roman" w:eastAsia="Times New Roman" w:hAnsi="Times New Roman"/>
          <w:color w:val="000000"/>
          <w:sz w:val="24"/>
          <w:szCs w:val="24"/>
        </w:rPr>
        <w:t xml:space="preserve">• Extreme weather or local events not captured in the dataset.</w:t>
      </w:r>
    </w:p>
    <w:p>
      <w:pPr>
        <w:spacing w:after="60" w:before="60"/>
        <w:ind w:left="360"/>
      </w:pPr>
      <w:r>
        <w:rPr>
          <w:rFonts w:ascii="Times New Roman" w:cs="Times New Roman" w:eastAsia="Times New Roman" w:hAnsi="Times New Roman"/>
          <w:color w:val="000000"/>
          <w:sz w:val="24"/>
          <w:szCs w:val="24"/>
        </w:rPr>
        <w:t xml:space="preserve">• Inherent randomness in daily consumer behavior.</w:t>
      </w:r>
    </w:p>
    <w:p>
      <w:pPr>
        <w:spacing w:after="80" w:before="8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These findings validate the model's reliability for forecasting purposes and confirm that no further structural improvements are needed in the current feature set.</w:t>
      </w:r>
    </w:p>
    <w:p>
      <w:pPr>
        <w:spacing w:after="80" w:before="80"/>
      </w:pPr>
      <w:r>
        <w:t xml:space="preserve"/>
      </w:r>
    </w:p>
    <w:p>
      <w:pPr>
        <w:pBdr>
          <w:bottom w:val="single" w:color="1F4E79" w:sz="6"/>
        </w:pBdr>
        <w:spacing w:after="160" w:before="320"/>
      </w:pPr>
      <w:r>
        <w:rPr>
          <w:rFonts w:ascii="Times New Roman" w:cs="Times New Roman" w:eastAsia="Times New Roman" w:hAnsi="Times New Roman"/>
          <w:b/>
          <w:bCs/>
          <w:color w:val="1F4E79"/>
          <w:sz w:val="32"/>
          <w:szCs w:val="32"/>
        </w:rPr>
        <w:t xml:space="preserve">8. Conclusion</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Both LightGBM and XGBoost produced strong forecasting results on the Rossmann Store Sales dataset. After systematic hyperparameter tuning using RandomizedSearchCV, XGBoost emerged as the superior model with an R² of 0.8306 and a MAE of 815.18€.</w:t>
      </w:r>
    </w:p>
    <w:p>
      <w:pPr>
        <w:spacing w:after="80" w:before="8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The model's residuals analysis confirmed that no significant patterns remain unexplained, and the evaluation on both log and original scales provides confidence in the model's practical business utility. The trained XGBoost pipeline has been saved and registered in the MLflow Model Registry as Version 2 of the rossmann-sales-forecasting-model, ready for deployment via the Streamlit application.</w:t>
      </w:r>
    </w:p>
    <w:p>
      <w:pPr>
        <w:spacing w:after="80" w:before="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3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Final Model Summary</w:t>
            </w:r>
          </w:p>
        </w:tc>
        <w:tc>
          <w:tcPr>
            <w:tcW w:type="dxa" w:w="4500"/>
            <w:shd w:fill="1F4E79" w:val="clear"/>
            <w:vAlign w:val="center"/>
          </w:tcPr>
          <w:p>
            <w:pPr>
              <w:spacing w:after="60" w:before="60"/>
              <w:jc w:val="center"/>
            </w:pPr>
            <w:r>
              <w:rPr>
                <w:rFonts w:ascii="Times New Roman" w:cs="Times New Roman" w:eastAsia="Times New Roman" w:hAnsi="Times New Roman"/>
                <w:b/>
                <w:bCs/>
                <w:color w:val="FFFFFF"/>
                <w:sz w:val="22"/>
                <w:szCs w:val="22"/>
              </w:rPr>
              <w:t xml:space="preserve"/>
            </w:r>
          </w:p>
        </w:tc>
      </w:tr>
      <w:tr>
        <w:tc>
          <w:tcPr>
            <w:tcW w:type="dxa" w:w="3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Model</w:t>
            </w:r>
          </w:p>
        </w:tc>
        <w:tc>
          <w:tcPr>
            <w:tcW w:type="dxa" w:w="4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XGBoost Regressor</w:t>
            </w:r>
          </w:p>
        </w:tc>
      </w:tr>
      <w:tr>
        <w:tc>
          <w:tcPr>
            <w:tcW w:type="dxa" w:w="3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Pipeline</w:t>
            </w:r>
          </w:p>
        </w:tc>
        <w:tc>
          <w:tcPr>
            <w:tcW w:type="dxa" w:w="4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StandardScaler → XGBoost</w:t>
            </w:r>
          </w:p>
        </w:tc>
      </w:tr>
      <w:tr>
        <w:tc>
          <w:tcPr>
            <w:tcW w:type="dxa" w:w="3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R² Score</w:t>
            </w:r>
          </w:p>
        </w:tc>
        <w:tc>
          <w:tcPr>
            <w:tcW w:type="dxa" w:w="4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0.8306</w:t>
            </w:r>
          </w:p>
        </w:tc>
      </w:tr>
      <w:tr>
        <w:tc>
          <w:tcPr>
            <w:tcW w:type="dxa" w:w="3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MAE</w:t>
            </w:r>
          </w:p>
        </w:tc>
        <w:tc>
          <w:tcPr>
            <w:tcW w:type="dxa" w:w="4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815.18 €</w:t>
            </w:r>
          </w:p>
        </w:tc>
      </w:tr>
      <w:tr>
        <w:tc>
          <w:tcPr>
            <w:tcW w:type="dxa" w:w="3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RMSE</w:t>
            </w:r>
          </w:p>
        </w:tc>
        <w:tc>
          <w:tcPr>
            <w:tcW w:type="dxa" w:w="4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1,150.54 €</w:t>
            </w:r>
          </w:p>
        </w:tc>
      </w:tr>
      <w:tr>
        <w:tc>
          <w:tcPr>
            <w:tcW w:type="dxa" w:w="3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MAPE</w:t>
            </w:r>
          </w:p>
        </w:tc>
        <w:tc>
          <w:tcPr>
            <w:tcW w:type="dxa" w:w="4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13.70%</w:t>
            </w:r>
          </w:p>
        </w:tc>
      </w:tr>
      <w:tr>
        <w:tc>
          <w:tcPr>
            <w:tcW w:type="dxa" w:w="3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MLflow Experiment</w:t>
            </w:r>
          </w:p>
        </w:tc>
        <w:tc>
          <w:tcPr>
            <w:tcW w:type="dxa" w:w="4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rossmann-sales-forecasting</w:t>
            </w:r>
          </w:p>
        </w:tc>
      </w:tr>
      <w:tr>
        <w:tc>
          <w:tcPr>
            <w:tcW w:type="dxa" w:w="3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Registered Model</w:t>
            </w:r>
          </w:p>
        </w:tc>
        <w:tc>
          <w:tcPr>
            <w:tcW w:type="dxa" w:w="4500"/>
            <w:shd w:fill="F2F2F2" w:val="clear"/>
            <w:vAlign w:val="center"/>
          </w:tcPr>
          <w:p>
            <w:pPr>
              <w:spacing w:after="60" w:before="60"/>
              <w:jc w:val="center"/>
            </w:pPr>
            <w:r>
              <w:rPr>
                <w:rFonts w:ascii="Times New Roman" w:cs="Times New Roman" w:eastAsia="Times New Roman" w:hAnsi="Times New Roman"/>
                <w:color w:val="000000"/>
                <w:sz w:val="22"/>
                <w:szCs w:val="22"/>
              </w:rPr>
              <w:t xml:space="preserve">rossmann-sales-forecasting-model v2</w:t>
            </w:r>
          </w:p>
        </w:tc>
      </w:tr>
      <w:tr>
        <w:tc>
          <w:tcPr>
            <w:tcW w:type="dxa" w:w="3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Deployment</w:t>
            </w:r>
          </w:p>
        </w:tc>
        <w:tc>
          <w:tcPr>
            <w:tcW w:type="dxa" w:w="4500"/>
            <w:shd w:fill="FFFFFF" w:val="clear"/>
            <w:vAlign w:val="center"/>
          </w:tcPr>
          <w:p>
            <w:pPr>
              <w:spacing w:after="60" w:before="60"/>
              <w:jc w:val="center"/>
            </w:pPr>
            <w:r>
              <w:rPr>
                <w:rFonts w:ascii="Times New Roman" w:cs="Times New Roman" w:eastAsia="Times New Roman" w:hAnsi="Times New Roman"/>
                <w:color w:val="000000"/>
                <w:sz w:val="22"/>
                <w:szCs w:val="22"/>
              </w:rPr>
              <w:t xml:space="preserve">Streamlit App (app.py)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2026-07-08T09:39:55.831Z</dcterms:created>
  <dcterms:modified xsi:type="dcterms:W3CDTF">2026-07-08T09:39:55.831Z</dcterms:modified>
</cp:coreProperties>
</file>

<file path=docProps/custom.xml><?xml version="1.0" encoding="utf-8"?>
<Properties xmlns="http://schemas.openxmlformats.org/officeDocument/2006/custom-properties" xmlns:vt="http://schemas.openxmlformats.org/officeDocument/2006/docPropsVTypes"/>
</file>