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956" w:rsidRDefault="00C82956" w:rsidP="00B40D9A">
      <w:pPr>
        <w:pStyle w:val="Heading1"/>
        <w:rPr>
          <w:lang w:bidi="ar-EG"/>
        </w:rPr>
      </w:pPr>
      <w:r>
        <w:rPr>
          <w:lang w:bidi="ar-EG"/>
        </w:rPr>
        <w:t xml:space="preserve">Introduction </w:t>
      </w:r>
      <w:r w:rsidR="002055B9">
        <w:rPr>
          <w:lang w:bidi="ar-EG"/>
        </w:rPr>
        <w:t>to</w:t>
      </w:r>
      <w:r w:rsidR="00B40D9A">
        <w:rPr>
          <w:lang w:bidi="ar-EG"/>
        </w:rPr>
        <w:t xml:space="preserve"> AVX</w:t>
      </w:r>
    </w:p>
    <w:p w:rsidR="00E3344B" w:rsidRPr="00E3344B" w:rsidRDefault="00C82956" w:rsidP="00E3344B">
      <w:pPr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Intel Advanced Vector Extensions (Intel AVX) is a set of instructio</w:t>
      </w:r>
      <w:r w:rsidR="00831233">
        <w:rPr>
          <w:sz w:val="23"/>
          <w:szCs w:val="23"/>
        </w:rPr>
        <w:t xml:space="preserve">ns for doing Single Instruction </w:t>
      </w:r>
      <w:r>
        <w:rPr>
          <w:sz w:val="23"/>
          <w:szCs w:val="23"/>
        </w:rPr>
        <w:t>Multiple Data (SIMD) operations on Intel architecture CPUs.</w:t>
      </w:r>
      <w:r w:rsidR="00831233">
        <w:rPr>
          <w:sz w:val="23"/>
          <w:szCs w:val="23"/>
        </w:rPr>
        <w:t xml:space="preserve"> It isn’t the first try for Intel to enhance performance of operations done by its CPUs using SIMD instructions. The legacy instruction sets were MMX and SSE.</w:t>
      </w:r>
      <w:r w:rsidR="00831233">
        <w:rPr>
          <w:sz w:val="23"/>
          <w:szCs w:val="23"/>
        </w:rPr>
        <w:br/>
        <w:t>The main differences between the AVX and the legacy sets are the following:</w:t>
      </w:r>
    </w:p>
    <w:p w:rsidR="00831233" w:rsidRPr="000F43AC" w:rsidRDefault="00E3344B" w:rsidP="000F43AC">
      <w:pPr>
        <w:pStyle w:val="Default"/>
        <w:numPr>
          <w:ilvl w:val="0"/>
          <w:numId w:val="1"/>
        </w:numPr>
        <w:spacing w:after="240"/>
        <w:rPr>
          <w:sz w:val="23"/>
          <w:szCs w:val="23"/>
        </w:rPr>
      </w:pPr>
      <w:r>
        <w:rPr>
          <w:sz w:val="23"/>
          <w:szCs w:val="23"/>
        </w:rPr>
        <w:t>The 128-bit SIMD registers have been expanded to 256 bits. AVX is designed to support 51</w:t>
      </w:r>
      <w:r w:rsidR="000F43AC">
        <w:rPr>
          <w:sz w:val="23"/>
          <w:szCs w:val="23"/>
        </w:rPr>
        <w:t>2 bits as</w:t>
      </w:r>
      <w:r>
        <w:rPr>
          <w:sz w:val="23"/>
          <w:szCs w:val="23"/>
        </w:rPr>
        <w:t xml:space="preserve"> in AVX 512 that </w:t>
      </w:r>
      <w:r w:rsidR="000F43AC">
        <w:rPr>
          <w:sz w:val="23"/>
          <w:szCs w:val="23"/>
        </w:rPr>
        <w:t>was</w:t>
      </w:r>
      <w:r>
        <w:rPr>
          <w:sz w:val="23"/>
          <w:szCs w:val="23"/>
        </w:rPr>
        <w:t xml:space="preserve"> already </w:t>
      </w:r>
      <w:r w:rsidR="000F43AC">
        <w:rPr>
          <w:sz w:val="23"/>
          <w:szCs w:val="23"/>
        </w:rPr>
        <w:t xml:space="preserve">launched in 2016 under name of Xeon x200 </w:t>
      </w:r>
      <w:r w:rsidR="000F43AC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massively-parallel multicore processors that was targeted super-computers. </w:t>
      </w:r>
    </w:p>
    <w:p w:rsidR="000F43AC" w:rsidRPr="000F43AC" w:rsidRDefault="000F43AC" w:rsidP="000F43AC">
      <w:pPr>
        <w:pStyle w:val="Default"/>
        <w:numPr>
          <w:ilvl w:val="0"/>
          <w:numId w:val="1"/>
        </w:numPr>
        <w:spacing w:after="240"/>
        <w:rPr>
          <w:sz w:val="23"/>
          <w:szCs w:val="23"/>
        </w:rPr>
      </w:pPr>
      <w:r>
        <w:rPr>
          <w:sz w:val="23"/>
          <w:szCs w:val="23"/>
        </w:rPr>
        <w:t>Adding three operands nondestructive operations instead of the Accumulator based operation</w:t>
      </w:r>
      <w:r w:rsidR="007C6B1E">
        <w:rPr>
          <w:sz w:val="23"/>
          <w:szCs w:val="23"/>
        </w:rPr>
        <w:t>s</w:t>
      </w:r>
      <w:r>
        <w:rPr>
          <w:sz w:val="23"/>
          <w:szCs w:val="23"/>
        </w:rPr>
        <w:t>.</w:t>
      </w:r>
    </w:p>
    <w:p w:rsidR="009D0B40" w:rsidRPr="009D0B40" w:rsidRDefault="000F43AC" w:rsidP="009D0B40">
      <w:pPr>
        <w:pStyle w:val="Default"/>
        <w:numPr>
          <w:ilvl w:val="0"/>
          <w:numId w:val="1"/>
        </w:numPr>
        <w:spacing w:before="240"/>
        <w:rPr>
          <w:sz w:val="23"/>
          <w:szCs w:val="23"/>
        </w:rPr>
      </w:pPr>
      <w:r>
        <w:rPr>
          <w:sz w:val="23"/>
          <w:szCs w:val="23"/>
        </w:rPr>
        <w:t xml:space="preserve">A few instructions take four-register operands, allowing smaller and faster code by removing unnecessary instructions. </w:t>
      </w:r>
    </w:p>
    <w:p w:rsidR="009D0B40" w:rsidRDefault="009D0B40" w:rsidP="009D0B40">
      <w:pPr>
        <w:numPr>
          <w:ilvl w:val="0"/>
          <w:numId w:val="1"/>
        </w:numPr>
        <w:shd w:val="clear" w:color="auto" w:fill="FFFFFF"/>
        <w:spacing w:before="240" w:after="24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T</w:t>
      </w:r>
      <w:r w:rsidRPr="009D0B40">
        <w:rPr>
          <w:rFonts w:ascii="Arial" w:eastAsia="Times New Roman" w:hAnsi="Arial" w:cs="Arial"/>
          <w:color w:val="252525"/>
          <w:sz w:val="21"/>
          <w:szCs w:val="21"/>
        </w:rPr>
        <w:t>hree-operand </w:t>
      </w:r>
      <w:r>
        <w:rPr>
          <w:rFonts w:ascii="Arial" w:eastAsia="Times New Roman" w:hAnsi="Arial" w:cs="Arial"/>
          <w:color w:val="252525"/>
          <w:sz w:val="21"/>
          <w:szCs w:val="21"/>
        </w:rPr>
        <w:t>Fused Multiply Add operations</w:t>
      </w:r>
      <w:r w:rsidRPr="009D0B40">
        <w:rPr>
          <w:rFonts w:ascii="Arial" w:eastAsia="Times New Roman" w:hAnsi="Arial" w:cs="Arial"/>
          <w:color w:val="252525"/>
          <w:sz w:val="21"/>
          <w:szCs w:val="21"/>
        </w:rPr>
        <w:t> support (FMA3)</w:t>
      </w:r>
      <w:r>
        <w:rPr>
          <w:rFonts w:ascii="Arial" w:eastAsia="Times New Roman" w:hAnsi="Arial" w:cs="Arial"/>
          <w:color w:val="252525"/>
          <w:sz w:val="21"/>
          <w:szCs w:val="21"/>
        </w:rPr>
        <w:t xml:space="preserve">.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Supported by </w:t>
      </w:r>
      <w:r>
        <w:rPr>
          <w:rFonts w:ascii="Arial" w:eastAsia="Times New Roman" w:hAnsi="Arial" w:cs="Arial"/>
          <w:color w:val="252525"/>
          <w:sz w:val="21"/>
          <w:szCs w:val="21"/>
        </w:rPr>
        <w:t>AVX2.</w:t>
      </w:r>
    </w:p>
    <w:p w:rsidR="009D0B40" w:rsidRPr="002055B9" w:rsidRDefault="009D0B40" w:rsidP="009D0B40">
      <w:pPr>
        <w:numPr>
          <w:ilvl w:val="0"/>
          <w:numId w:val="1"/>
        </w:numPr>
        <w:shd w:val="clear" w:color="auto" w:fill="FFFFFF"/>
        <w:spacing w:before="240" w:after="24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Gather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support, enabling vector elements to be loaded from non-contiguous memory locations. Supported by AVX2</w:t>
      </w:r>
    </w:p>
    <w:p w:rsidR="002055B9" w:rsidRDefault="002055B9" w:rsidP="002055B9">
      <w:pPr>
        <w:pStyle w:val="Default"/>
        <w:ind w:left="360"/>
      </w:pPr>
    </w:p>
    <w:p w:rsidR="002055B9" w:rsidRPr="002055B9" w:rsidRDefault="002055B9" w:rsidP="002055B9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2055B9">
        <w:rPr>
          <w:sz w:val="23"/>
          <w:szCs w:val="23"/>
        </w:rPr>
        <w:t xml:space="preserve">Memory alignment requirements for operands are relaxed. </w:t>
      </w:r>
    </w:p>
    <w:p w:rsidR="002055B9" w:rsidRDefault="002055B9" w:rsidP="002055B9">
      <w:pPr>
        <w:pStyle w:val="Default"/>
        <w:spacing w:after="240"/>
        <w:rPr>
          <w:sz w:val="23"/>
          <w:szCs w:val="23"/>
        </w:rPr>
      </w:pPr>
    </w:p>
    <w:p w:rsidR="00E830E8" w:rsidRDefault="006A4669" w:rsidP="00E830E8">
      <w:pPr>
        <w:pStyle w:val="Default"/>
        <w:spacing w:after="240"/>
        <w:rPr>
          <w:sz w:val="23"/>
          <w:szCs w:val="23"/>
        </w:rPr>
      </w:pPr>
      <w:r>
        <w:rPr>
          <w:sz w:val="23"/>
          <w:szCs w:val="23"/>
        </w:rPr>
        <w:t>AVX is supported by various Intel CPUs, Co</w:t>
      </w:r>
      <w:r w:rsidR="006A42FD">
        <w:rPr>
          <w:sz w:val="23"/>
          <w:szCs w:val="23"/>
        </w:rPr>
        <w:t xml:space="preserve">mpilers, and operating systems that all can be found in </w:t>
      </w:r>
      <w:hyperlink r:id="rId9" w:history="1">
        <w:r w:rsidR="006A42FD" w:rsidRPr="006A42FD">
          <w:rPr>
            <w:rStyle w:val="Hyperlink"/>
            <w:sz w:val="23"/>
            <w:szCs w:val="23"/>
          </w:rPr>
          <w:t>[0]</w:t>
        </w:r>
      </w:hyperlink>
      <w:r w:rsidR="006A42FD">
        <w:rPr>
          <w:sz w:val="23"/>
          <w:szCs w:val="23"/>
        </w:rPr>
        <w:t>.</w:t>
      </w:r>
    </w:p>
    <w:p w:rsidR="005428FF" w:rsidRPr="005428FF" w:rsidRDefault="005428FF" w:rsidP="005428FF">
      <w:pPr>
        <w:pStyle w:val="Heading1"/>
      </w:pPr>
      <w:r>
        <w:t>Performance Improvement</w:t>
      </w:r>
    </w:p>
    <w:p w:rsidR="005428FF" w:rsidRDefault="005428FF" w:rsidP="005428FF">
      <w:r>
        <w:t>To prove that the AVX instruction set has performance higher than the legacy SSE, and conventional non-vectored (serial) codes, the following result is for running Mandelbrot set example codes (</w:t>
      </w:r>
      <w:r>
        <w:rPr>
          <w:sz w:val="23"/>
          <w:szCs w:val="23"/>
        </w:rPr>
        <w:t>a Mandelbrot set is a computationally intensive operation on complex numbers</w:t>
      </w:r>
      <w:r>
        <w:t>) which were implemented using AVX, SSE, and conventional float and complex data types.</w:t>
      </w:r>
    </w:p>
    <w:p w:rsidR="00B40D9A" w:rsidRDefault="005428FF" w:rsidP="00B40D9A">
      <w:pPr>
        <w:keepNext/>
      </w:pPr>
      <w:r>
        <w:rPr>
          <w:noProof/>
        </w:rPr>
        <w:drawing>
          <wp:inline distT="0" distB="0" distL="0" distR="0" wp14:anchorId="381EA764" wp14:editId="0B0877CE">
            <wp:extent cx="5721024" cy="25181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54" cy="251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0E8" w:rsidRDefault="00B40D9A" w:rsidP="006A42FD">
      <w:pPr>
        <w:pStyle w:val="Caption"/>
        <w:ind w:left="2160" w:firstLine="720"/>
      </w:pPr>
      <w:r>
        <w:t xml:space="preserve">Figure </w:t>
      </w:r>
      <w:fldSimple w:instr=" SEQ Figure \* ARABIC ">
        <w:r w:rsidR="007C6B1E">
          <w:rPr>
            <w:noProof/>
          </w:rPr>
          <w:t>1</w:t>
        </w:r>
      </w:fldSimple>
      <w:r>
        <w:t xml:space="preserve">: </w:t>
      </w:r>
      <w:r w:rsidR="00F649EE">
        <w:t>P</w:t>
      </w:r>
      <w:r>
        <w:t>erformance across sizes</w:t>
      </w:r>
      <w:r w:rsidR="006A42FD">
        <w:t xml:space="preserve"> </w:t>
      </w:r>
    </w:p>
    <w:p w:rsidR="00B40D9A" w:rsidRDefault="00B40D9A" w:rsidP="00F63DD5">
      <w:pPr>
        <w:pStyle w:val="Heading1"/>
      </w:pPr>
      <w:r>
        <w:lastRenderedPageBreak/>
        <w:t xml:space="preserve">Programming with </w:t>
      </w:r>
      <w:r w:rsidR="00F63DD5">
        <w:t>AVX</w:t>
      </w:r>
    </w:p>
    <w:p w:rsidR="00B40D9A" w:rsidRDefault="00B40D9A" w:rsidP="00B40D9A">
      <w:r>
        <w:t>There are two ways of programming using AVX:</w:t>
      </w:r>
    </w:p>
    <w:p w:rsidR="00B40D9A" w:rsidRDefault="00B40D9A" w:rsidP="00643D68">
      <w:pPr>
        <w:pStyle w:val="ListParagraph"/>
        <w:numPr>
          <w:ilvl w:val="0"/>
          <w:numId w:val="3"/>
        </w:numPr>
      </w:pPr>
      <w:r>
        <w:t>Using the Assembly instructions</w:t>
      </w:r>
      <w:r w:rsidR="00F63DD5">
        <w:t>.</w:t>
      </w:r>
    </w:p>
    <w:p w:rsidR="00F63DD5" w:rsidRPr="00B40D9A" w:rsidRDefault="00F63DD5" w:rsidP="00B40D9A">
      <w:pPr>
        <w:pStyle w:val="ListParagraph"/>
        <w:numPr>
          <w:ilvl w:val="0"/>
          <w:numId w:val="3"/>
        </w:numPr>
      </w:pPr>
      <w:r>
        <w:t>Using C/C++ intrinsic Functions.</w:t>
      </w:r>
    </w:p>
    <w:p w:rsidR="00B40D9A" w:rsidRDefault="00F63DD5" w:rsidP="00643D68">
      <w:r>
        <w:t>For developers who want to write assembly, there is a complete reference guide for AVX/AVX2 instruction set</w:t>
      </w:r>
      <w:r w:rsidR="00643D68">
        <w:t>s</w:t>
      </w:r>
      <w:r>
        <w:t xml:space="preserve"> </w:t>
      </w:r>
      <w:r w:rsidR="00643D68">
        <w:t>provided</w:t>
      </w:r>
      <w:r>
        <w:t xml:space="preserve"> by Intel</w:t>
      </w:r>
      <w:r w:rsidR="00A00352">
        <w:t xml:space="preserve">. </w:t>
      </w:r>
      <w:hyperlink r:id="rId11" w:history="1">
        <w:r w:rsidR="00A00352" w:rsidRPr="00A00352">
          <w:rPr>
            <w:rStyle w:val="Hyperlink"/>
          </w:rPr>
          <w:t>[1]</w:t>
        </w:r>
      </w:hyperlink>
    </w:p>
    <w:p w:rsidR="00EE0D19" w:rsidRDefault="00D045D6" w:rsidP="00C607CE">
      <w:pPr>
        <w:rPr>
          <w:rFonts w:ascii="Arial" w:hAnsi="Arial" w:cs="Arial"/>
          <w:sz w:val="20"/>
          <w:szCs w:val="20"/>
          <w:shd w:val="clear" w:color="auto" w:fill="FFFFFF"/>
        </w:rPr>
      </w:pPr>
      <w:r>
        <w:t>The easier way is to use the 2</w:t>
      </w:r>
      <w:r w:rsidRPr="00D045D6">
        <w:rPr>
          <w:vertAlign w:val="superscript"/>
        </w:rPr>
        <w:t>nd</w:t>
      </w:r>
      <w:r>
        <w:t xml:space="preserve"> method or the intrinsic functions</w:t>
      </w:r>
      <w:r w:rsidRPr="00D045D6">
        <w:t xml:space="preserve">. </w:t>
      </w:r>
      <w:r w:rsidRPr="00643D68">
        <w:t xml:space="preserve">Intrinsic functions are assembly-coded functions that allow you to use C++ function calls and variables in </w:t>
      </w:r>
      <w:r w:rsidR="00C607CE" w:rsidRPr="00643D68">
        <w:t>place of assembly instructions</w:t>
      </w:r>
      <w:r w:rsidR="00C607CE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C607CE" w:rsidRDefault="00C607CE" w:rsidP="00C607CE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Intrinsic Data Types</w:t>
      </w:r>
    </w:p>
    <w:p w:rsidR="00C607CE" w:rsidRDefault="00C607CE" w:rsidP="00643D68">
      <w:pPr>
        <w:rPr>
          <w:shd w:val="clear" w:color="auto" w:fill="FFFFFF"/>
        </w:rPr>
      </w:pPr>
      <w:r w:rsidRPr="00C607CE">
        <w:rPr>
          <w:shd w:val="clear" w:color="auto" w:fill="FFFFFF"/>
        </w:rPr>
        <w:t>Intrinsic functions use new C data types as operands, representing the new registers that are used as the operands to these intrinsic functions.</w:t>
      </w:r>
    </w:p>
    <w:p w:rsidR="00C607CE" w:rsidRDefault="00C607CE" w:rsidP="00643D68">
      <w:pPr>
        <w:rPr>
          <w:shd w:val="clear" w:color="auto" w:fill="FFFFFF"/>
        </w:rPr>
      </w:pPr>
      <w:r w:rsidRPr="00C607CE">
        <w:rPr>
          <w:shd w:val="clear" w:color="auto" w:fill="FFFFFF"/>
        </w:rPr>
        <w:t xml:space="preserve">The following </w:t>
      </w:r>
      <w:r>
        <w:rPr>
          <w:shd w:val="clear" w:color="auto" w:fill="FFFFFF"/>
        </w:rPr>
        <w:t>figure</w:t>
      </w:r>
      <w:r w:rsidRPr="00C607CE">
        <w:rPr>
          <w:shd w:val="clear" w:color="auto" w:fill="FFFFFF"/>
        </w:rPr>
        <w:t xml:space="preserve"> details for which instructions each of the new data types are available. A 'Yes' indicates that the data type is availa</w:t>
      </w:r>
      <w:r>
        <w:rPr>
          <w:shd w:val="clear" w:color="auto" w:fill="FFFFFF"/>
        </w:rPr>
        <w:t>ble for that group of intrinsic functions</w:t>
      </w:r>
      <w:r w:rsidRPr="00C607CE">
        <w:rPr>
          <w:shd w:val="clear" w:color="auto" w:fill="FFFFFF"/>
        </w:rPr>
        <w:t>; an 'NA' indicates that the data type is not available for that group of intrinsic</w:t>
      </w:r>
      <w:r>
        <w:rPr>
          <w:shd w:val="clear" w:color="auto" w:fill="FFFFFF"/>
        </w:rPr>
        <w:t xml:space="preserve"> functions</w:t>
      </w:r>
      <w:r w:rsidRPr="00C607CE">
        <w:rPr>
          <w:shd w:val="clear" w:color="auto" w:fill="FFFFFF"/>
        </w:rPr>
        <w:t>.</w:t>
      </w:r>
    </w:p>
    <w:p w:rsidR="00C607CE" w:rsidRDefault="00C607CE" w:rsidP="00C607CE">
      <w:pPr>
        <w:keepNext/>
      </w:pPr>
      <w:r>
        <w:rPr>
          <w:rFonts w:ascii="Arial" w:hAnsi="Arial" w:cs="Arial"/>
          <w:noProof/>
          <w:sz w:val="20"/>
          <w:szCs w:val="20"/>
          <w:shd w:val="clear" w:color="auto" w:fill="FFFFFF"/>
        </w:rPr>
        <w:drawing>
          <wp:inline distT="0" distB="0" distL="0" distR="0" wp14:anchorId="022F72E4" wp14:editId="71574514">
            <wp:extent cx="5945838" cy="54144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7CE" w:rsidRDefault="00C607CE" w:rsidP="00C607CE">
      <w:pPr>
        <w:pStyle w:val="Caption"/>
        <w:ind w:left="2160" w:firstLine="720"/>
      </w:pPr>
      <w:r>
        <w:t xml:space="preserve">Figure </w:t>
      </w:r>
      <w:fldSimple w:instr=" SEQ Figure \* ARABIC ">
        <w:r w:rsidR="007C6B1E">
          <w:rPr>
            <w:noProof/>
          </w:rPr>
          <w:t>2</w:t>
        </w:r>
      </w:fldSimple>
      <w:r>
        <w:t>: Data Types supported in various Technologies</w:t>
      </w:r>
    </w:p>
    <w:p w:rsidR="00C607CE" w:rsidRDefault="00C607CE" w:rsidP="00C607CE">
      <w:pPr>
        <w:pStyle w:val="Heading2"/>
      </w:pPr>
      <w:r>
        <w:lastRenderedPageBreak/>
        <w:t xml:space="preserve">Naming and Usage </w:t>
      </w:r>
    </w:p>
    <w:p w:rsidR="00C607CE" w:rsidRDefault="00C607CE" w:rsidP="00643D68">
      <w:pPr>
        <w:rPr>
          <w:shd w:val="clear" w:color="auto" w:fill="FFFFFF"/>
        </w:rPr>
      </w:pPr>
      <w:r w:rsidRPr="00C607CE">
        <w:rPr>
          <w:shd w:val="clear" w:color="auto" w:fill="FFFFFF"/>
        </w:rPr>
        <w:t>Most intrinsic names use the following notational convention:</w:t>
      </w:r>
      <w:r>
        <w:rPr>
          <w:shd w:val="clear" w:color="auto" w:fill="FFFFFF"/>
        </w:rPr>
        <w:tab/>
      </w:r>
    </w:p>
    <w:p w:rsidR="00C607CE" w:rsidRDefault="00C607CE" w:rsidP="00643D68">
      <w:pPr>
        <w:rPr>
          <w:rStyle w:val="HTMLCode"/>
          <w:rFonts w:eastAsiaTheme="majorEastAsia"/>
        </w:rPr>
      </w:pPr>
      <w:r w:rsidRPr="00C607CE">
        <w:rPr>
          <w:rStyle w:val="HTMLCode"/>
          <w:rFonts w:eastAsiaTheme="majorEastAsia"/>
        </w:rPr>
        <w:t>_mm_&lt;</w:t>
      </w:r>
      <w:proofErr w:type="spellStart"/>
      <w:r w:rsidRPr="00C607CE">
        <w:rPr>
          <w:rStyle w:val="HTMLCode"/>
          <w:rFonts w:eastAsiaTheme="majorEastAsia"/>
        </w:rPr>
        <w:t>intrin_op</w:t>
      </w:r>
      <w:proofErr w:type="spellEnd"/>
      <w:r w:rsidRPr="00C607CE">
        <w:rPr>
          <w:rStyle w:val="HTMLCode"/>
          <w:rFonts w:eastAsiaTheme="majorEastAsia"/>
        </w:rPr>
        <w:t>&gt;_&lt;suffix&gt;</w:t>
      </w:r>
    </w:p>
    <w:p w:rsidR="00C607CE" w:rsidRDefault="00C607CE" w:rsidP="00643D68">
      <w:r>
        <w:t>The following figure</w:t>
      </w:r>
      <w:r w:rsidRPr="00C607CE">
        <w:t xml:space="preserve"> explains each item in the syntax.</w:t>
      </w:r>
    </w:p>
    <w:p w:rsidR="00C607CE" w:rsidRDefault="00C607CE" w:rsidP="00C607CE">
      <w:pPr>
        <w:pStyle w:val="NormalWeb"/>
        <w:keepNext/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D5A1A54" wp14:editId="64B0EE57">
            <wp:extent cx="5943600" cy="4150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7CE" w:rsidRDefault="00C607CE" w:rsidP="00C607CE">
      <w:pPr>
        <w:pStyle w:val="Caption"/>
        <w:ind w:left="2160" w:firstLine="720"/>
      </w:pPr>
      <w:r>
        <w:t xml:space="preserve">Figure </w:t>
      </w:r>
      <w:fldSimple w:instr=" SEQ Figure \* ARABIC ">
        <w:r w:rsidR="007C6B1E">
          <w:rPr>
            <w:noProof/>
          </w:rPr>
          <w:t>3</w:t>
        </w:r>
      </w:fldSimple>
      <w:r>
        <w:t>: Explanation of intrinsic notation convention</w:t>
      </w:r>
    </w:p>
    <w:p w:rsidR="00C607CE" w:rsidRPr="00C607CE" w:rsidRDefault="00C607CE" w:rsidP="00C607CE"/>
    <w:p w:rsidR="00C607CE" w:rsidRPr="00C607CE" w:rsidRDefault="00915219" w:rsidP="00C607CE">
      <w:pPr>
        <w:tabs>
          <w:tab w:val="left" w:pos="5970"/>
        </w:tabs>
      </w:pPr>
      <w:r w:rsidRPr="00643D68">
        <w:t>One can see Intel Intrinsic Guide which is an interactive reference tool for Intel Intrinsic instructions, which are C style functions that provides access to many Intel instructions – including Intel SSE, AVX, AVX-512, and more.</w:t>
      </w:r>
      <w:hyperlink r:id="rId14" w:anchor="techs=AVX2&amp;expand=1365" w:history="1">
        <w:r w:rsidRPr="00915219">
          <w:rPr>
            <w:rStyle w:val="Hyperlink"/>
          </w:rPr>
          <w:t>[2]</w:t>
        </w:r>
      </w:hyperlink>
      <w:bookmarkStart w:id="0" w:name="_GoBack"/>
      <w:bookmarkEnd w:id="0"/>
    </w:p>
    <w:sectPr w:rsidR="00C607CE" w:rsidRPr="00C607CE" w:rsidSect="005428FF">
      <w:pgSz w:w="12240" w:h="15840"/>
      <w:pgMar w:top="5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9CA" w:rsidRDefault="00ED79CA" w:rsidP="00B40D9A">
      <w:pPr>
        <w:spacing w:after="0" w:line="240" w:lineRule="auto"/>
      </w:pPr>
      <w:r>
        <w:separator/>
      </w:r>
    </w:p>
  </w:endnote>
  <w:endnote w:type="continuationSeparator" w:id="0">
    <w:p w:rsidR="00ED79CA" w:rsidRDefault="00ED79CA" w:rsidP="00B40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9CA" w:rsidRDefault="00ED79CA" w:rsidP="00B40D9A">
      <w:pPr>
        <w:spacing w:after="0" w:line="240" w:lineRule="auto"/>
      </w:pPr>
      <w:r>
        <w:separator/>
      </w:r>
    </w:p>
  </w:footnote>
  <w:footnote w:type="continuationSeparator" w:id="0">
    <w:p w:rsidR="00ED79CA" w:rsidRDefault="00ED79CA" w:rsidP="00B40D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96C5A"/>
    <w:multiLevelType w:val="hybridMultilevel"/>
    <w:tmpl w:val="2E805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690EF0"/>
    <w:multiLevelType w:val="hybridMultilevel"/>
    <w:tmpl w:val="63B45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5F53F4"/>
    <w:multiLevelType w:val="multilevel"/>
    <w:tmpl w:val="1584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B49"/>
    <w:rsid w:val="00035585"/>
    <w:rsid w:val="000F43AC"/>
    <w:rsid w:val="002055B9"/>
    <w:rsid w:val="00336B49"/>
    <w:rsid w:val="005428FF"/>
    <w:rsid w:val="00551257"/>
    <w:rsid w:val="00643D68"/>
    <w:rsid w:val="006A42FD"/>
    <w:rsid w:val="006A4669"/>
    <w:rsid w:val="007C6B1E"/>
    <w:rsid w:val="00831233"/>
    <w:rsid w:val="00915219"/>
    <w:rsid w:val="00925653"/>
    <w:rsid w:val="00945684"/>
    <w:rsid w:val="009D0B40"/>
    <w:rsid w:val="00A00352"/>
    <w:rsid w:val="00AC3438"/>
    <w:rsid w:val="00B40D9A"/>
    <w:rsid w:val="00BD32CF"/>
    <w:rsid w:val="00C607CE"/>
    <w:rsid w:val="00C82956"/>
    <w:rsid w:val="00D045D6"/>
    <w:rsid w:val="00D645B5"/>
    <w:rsid w:val="00E03A85"/>
    <w:rsid w:val="00E2144A"/>
    <w:rsid w:val="00E3344B"/>
    <w:rsid w:val="00E830E8"/>
    <w:rsid w:val="00EB1D6D"/>
    <w:rsid w:val="00ED79CA"/>
    <w:rsid w:val="00EE0D19"/>
    <w:rsid w:val="00F63DD5"/>
    <w:rsid w:val="00F6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2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2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2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3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C8295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3123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D0B40"/>
  </w:style>
  <w:style w:type="character" w:styleId="Hyperlink">
    <w:name w:val="Hyperlink"/>
    <w:basedOn w:val="DefaultParagraphFont"/>
    <w:uiPriority w:val="99"/>
    <w:unhideWhenUsed/>
    <w:rsid w:val="009D0B4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8F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40D9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63DD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63DD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63DD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0035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0035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00352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A00352"/>
  </w:style>
  <w:style w:type="character" w:styleId="FollowedHyperlink">
    <w:name w:val="FollowedHyperlink"/>
    <w:basedOn w:val="DefaultParagraphFont"/>
    <w:uiPriority w:val="99"/>
    <w:semiHidden/>
    <w:unhideWhenUsed/>
    <w:rsid w:val="00D045D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60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07C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2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2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2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3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C8295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3123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D0B40"/>
  </w:style>
  <w:style w:type="character" w:styleId="Hyperlink">
    <w:name w:val="Hyperlink"/>
    <w:basedOn w:val="DefaultParagraphFont"/>
    <w:uiPriority w:val="99"/>
    <w:unhideWhenUsed/>
    <w:rsid w:val="009D0B4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8F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40D9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63DD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63DD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63DD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0035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0035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00352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A00352"/>
  </w:style>
  <w:style w:type="character" w:styleId="FollowedHyperlink">
    <w:name w:val="FollowedHyperlink"/>
    <w:basedOn w:val="DefaultParagraphFont"/>
    <w:uiPriority w:val="99"/>
    <w:semiHidden/>
    <w:unhideWhenUsed/>
    <w:rsid w:val="00D045D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60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07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0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oogle.com.eg/url?sa=t&amp;rct=j&amp;q=&amp;esrc=s&amp;source=web&amp;cd=1&amp;cad=rja&amp;uact=8&amp;ved=0ahUKEwiXlPGT3avSAhXrIpoKHY1fASUQFggYMAA&amp;url=https%3A%2F%2Fsoftware.intel.com%2Fsites%2Fdefault%2Ffiles%2F4f%2F5b%2F36945&amp;usg=AFQjCNFwRmucXHdk2aNdPCpNl4YE1_7HiA&amp;sig2=oPPM46d6vwzhwWVaME9BfA&amp;bvm=bv.148073327,d.bGs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Advanced_Vector_Extensions" TargetMode="External"/><Relationship Id="rId14" Type="http://schemas.openxmlformats.org/officeDocument/2006/relationships/hyperlink" Target="https://software.intel.com/sites/landingpage/Intrinsics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Int</b:Tag>
    <b:SourceType>DocumentFromInternetSite</b:SourceType>
    <b:Guid>{D6CB46A6-20EB-428A-847A-06B64FCB2A3D}</b:Guid>
    <b:Author>
      <b:Author>
        <b:NameList>
          <b:Person>
            <b:Last>Intel</b:Last>
          </b:Person>
        </b:NameList>
      </b:Author>
    </b:Author>
    <b:URL>https://software.intel.com/sites/default/files/4f/5b/36945</b:URL>
    <b:RefOrder>1</b:RefOrder>
  </b:Source>
  <b:Source xmlns:b="http://schemas.openxmlformats.org/officeDocument/2006/bibliography" xmlns="http://schemas.openxmlformats.org/officeDocument/2006/bibliography">
    <b:Tag>Placeholder1</b:Tag>
    <b:RefOrder>2</b:RefOrder>
  </b:Source>
</b:Sources>
</file>

<file path=customXml/itemProps1.xml><?xml version="1.0" encoding="utf-8"?>
<ds:datastoreItem xmlns:ds="http://schemas.openxmlformats.org/officeDocument/2006/customXml" ds:itemID="{D5BFD1EF-4676-4F7A-AF71-2A5BDB688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Khaled Ahmed</dc:creator>
  <cp:lastModifiedBy>Khaled Ahmed</cp:lastModifiedBy>
  <cp:revision>17</cp:revision>
  <cp:lastPrinted>2017-02-25T17:36:00Z</cp:lastPrinted>
  <dcterms:created xsi:type="dcterms:W3CDTF">2017-02-25T13:36:00Z</dcterms:created>
  <dcterms:modified xsi:type="dcterms:W3CDTF">2017-02-25T17:46:00Z</dcterms:modified>
</cp:coreProperties>
</file>