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296D" w:rsidRDefault="00856F14">
      <w:pPr>
        <w:pStyle w:val="Heading1"/>
      </w:pPr>
      <w:r>
        <w:t>Scrambling:</w:t>
      </w:r>
    </w:p>
    <w:p w:rsidR="002B296D" w:rsidRDefault="00856F14">
      <w:r>
        <w:t xml:space="preserve">The block of bits </w:t>
      </w:r>
      <w:proofErr w:type="gramStart"/>
      <w:r>
        <w:t>b(</w:t>
      </w:r>
      <w:proofErr w:type="gramEnd"/>
      <w:r>
        <w:t>0),...,b(M bit −1 ) , where M bit is the number of bits transmitted on the physical uplink shared</w:t>
      </w:r>
    </w:p>
    <w:p w:rsidR="002B296D" w:rsidRDefault="00856F14">
      <w:proofErr w:type="gramStart"/>
      <w:r>
        <w:t>channel</w:t>
      </w:r>
      <w:proofErr w:type="gramEnd"/>
      <w:r>
        <w:t xml:space="preserve"> in one </w:t>
      </w:r>
      <w:proofErr w:type="spellStart"/>
      <w:r>
        <w:t>subframe</w:t>
      </w:r>
      <w:proofErr w:type="spellEnd"/>
      <w:r>
        <w:t xml:space="preserve">, shall be scrambled with a UE-specific scrambling sequence prior to modulation, resulting in a block </w:t>
      </w:r>
      <w:r>
        <w:t>of scrambled bits b ~(0),...,b ~(M bit −1) according to the following pseudo code.</w:t>
      </w:r>
    </w:p>
    <w:p w:rsidR="002B296D" w:rsidRDefault="002B296D"/>
    <w:p w:rsidR="002B296D" w:rsidRDefault="00856F14">
      <w:r>
        <w:t xml:space="preserve">Set </w:t>
      </w:r>
      <w:proofErr w:type="spellStart"/>
      <w:r>
        <w:rPr>
          <w:i/>
        </w:rPr>
        <w:t>i</w:t>
      </w:r>
      <w:proofErr w:type="spellEnd"/>
      <w:r>
        <w:t xml:space="preserve"> = 0</w:t>
      </w:r>
    </w:p>
    <w:p w:rsidR="002B296D" w:rsidRDefault="00856F14">
      <w:proofErr w:type="gramStart"/>
      <w:r>
        <w:t>while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t xml:space="preserve"> &lt; </w:t>
      </w:r>
      <w:r>
        <w:rPr>
          <w:i/>
        </w:rPr>
        <w:t>M</w:t>
      </w:r>
      <w:r>
        <w:rPr>
          <w:i/>
          <w:vertAlign w:val="subscript"/>
        </w:rPr>
        <w:t>bit</w:t>
      </w:r>
    </w:p>
    <w:p w:rsidR="002B296D" w:rsidRDefault="00856F14">
      <w:r>
        <w:tab/>
      </w:r>
      <w:proofErr w:type="gramStart"/>
      <w:r>
        <w:t>if</w:t>
      </w:r>
      <w:proofErr w:type="gramEnd"/>
      <w:r>
        <w:t xml:space="preserve"> </w:t>
      </w:r>
      <w:r>
        <w:rPr>
          <w:position w:val="-10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4.25pt" o:ole="">
            <v:imagedata r:id="rId5" o:title=""/>
          </v:shape>
          <o:OLEObject Type="Embed" ProgID="Equation.3" ShapeID="_x0000_i1025" DrawAspect="Content" ObjectID="_1547045113" r:id="rId6"/>
        </w:object>
      </w:r>
      <w:r>
        <w:tab/>
      </w:r>
      <w:r>
        <w:tab/>
        <w:t>// ACK</w:t>
      </w:r>
      <w:r>
        <w:rPr>
          <w:rFonts w:hint="eastAsia"/>
        </w:rPr>
        <w:t>/NAK or Rank Indication</w:t>
      </w:r>
      <w:r>
        <w:t xml:space="preserve"> placeholder bits</w:t>
      </w:r>
    </w:p>
    <w:p w:rsidR="002B296D" w:rsidRDefault="00856F14">
      <w:r>
        <w:tab/>
      </w:r>
      <w:r>
        <w:tab/>
      </w:r>
      <w:r>
        <w:rPr>
          <w:position w:val="-10"/>
        </w:rPr>
        <w:object w:dxaOrig="660" w:dyaOrig="340">
          <v:shape id="_x0000_i1026" type="#_x0000_t75" style="width:33pt;height:17.25pt" o:ole="">
            <v:imagedata r:id="rId7" o:title=""/>
          </v:shape>
          <o:OLEObject Type="Embed" ProgID="Equation.3" ShapeID="_x0000_i1026" DrawAspect="Content" ObjectID="_1547045114" r:id="rId8"/>
        </w:object>
      </w:r>
    </w:p>
    <w:p w:rsidR="002B296D" w:rsidRDefault="00856F14">
      <w:r>
        <w:tab/>
      </w:r>
      <w:proofErr w:type="gramStart"/>
      <w:r>
        <w:t>else</w:t>
      </w:r>
      <w:proofErr w:type="gramEnd"/>
    </w:p>
    <w:p w:rsidR="002B296D" w:rsidRDefault="00856F14">
      <w:r>
        <w:tab/>
      </w:r>
      <w: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</w:t>
      </w:r>
      <w:r>
        <w:rPr>
          <w:position w:val="-10"/>
        </w:rPr>
        <w:object w:dxaOrig="800" w:dyaOrig="320">
          <v:shape id="_x0000_i1027" type="#_x0000_t75" style="width:39.75pt;height:15.75pt" o:ole="">
            <v:imagedata r:id="rId9" o:title=""/>
          </v:shape>
          <o:OLEObject Type="Embed" ProgID="Equation.3" ShapeID="_x0000_i1027" DrawAspect="Content" ObjectID="_1547045115" r:id="rId10"/>
        </w:object>
      </w:r>
      <w:r>
        <w:tab/>
      </w:r>
      <w:r>
        <w:rPr>
          <w:rFonts w:hint="eastAsia"/>
          <w:lang w:eastAsia="ko-KR"/>
        </w:rPr>
        <w:t xml:space="preserve">// </w:t>
      </w:r>
      <w:r>
        <w:t xml:space="preserve">ACK/NAK </w:t>
      </w:r>
      <w:r>
        <w:rPr>
          <w:rFonts w:hint="eastAsia"/>
          <w:lang w:eastAsia="ko-KR"/>
        </w:rPr>
        <w:t>o</w:t>
      </w:r>
      <w:r>
        <w:rPr>
          <w:rFonts w:hint="eastAsia"/>
          <w:lang w:eastAsia="ko-KR"/>
        </w:rPr>
        <w:t>r Rank</w:t>
      </w:r>
      <w:r>
        <w:rPr>
          <w:lang w:eastAsia="ko-KR"/>
        </w:rPr>
        <w:t xml:space="preserve"> Indication</w:t>
      </w:r>
      <w:r>
        <w:rPr>
          <w:rFonts w:hint="eastAsia"/>
          <w:lang w:eastAsia="ko-KR"/>
        </w:rPr>
        <w:t xml:space="preserve"> repetition placeholder bits</w:t>
      </w:r>
    </w:p>
    <w:p w:rsidR="002B296D" w:rsidRDefault="00856F14">
      <w:r>
        <w:rPr>
          <w:rFonts w:hint="eastAsia"/>
        </w:rPr>
        <w:t xml:space="preserve">           </w:t>
      </w:r>
      <w:r>
        <w:rPr>
          <w:position w:val="-10"/>
        </w:rPr>
        <w:object w:dxaOrig="1180" w:dyaOrig="340">
          <v:shape id="_x0000_i1028" type="#_x0000_t75" style="width:59.25pt;height:17.25pt" o:ole="">
            <v:imagedata r:id="rId11" o:title=""/>
          </v:shape>
          <o:OLEObject Type="Embed" ProgID="Equation.3" ShapeID="_x0000_i1028" DrawAspect="Content" ObjectID="_1547045116" r:id="rId12"/>
        </w:object>
      </w:r>
    </w:p>
    <w:p w:rsidR="002B296D" w:rsidRDefault="00856F14">
      <w:pPr>
        <w:ind w:left="567"/>
      </w:pPr>
      <w:r>
        <w:t>E</w:t>
      </w:r>
      <w:r>
        <w:rPr>
          <w:rFonts w:hint="eastAsia"/>
        </w:rPr>
        <w:t>lse</w:t>
      </w:r>
      <w:r>
        <w:tab/>
      </w:r>
      <w:r>
        <w:tab/>
      </w:r>
      <w:r>
        <w:tab/>
      </w:r>
      <w:r>
        <w:t>// Data or channel quality coded bits</w:t>
      </w:r>
      <w:r>
        <w:rPr>
          <w:rFonts w:hint="eastAsia"/>
          <w:lang w:eastAsia="ko-KR"/>
        </w:rPr>
        <w:t>, Rank</w:t>
      </w:r>
      <w:r>
        <w:rPr>
          <w:lang w:eastAsia="ko-KR"/>
        </w:rPr>
        <w:t xml:space="preserve"> Indication</w:t>
      </w:r>
      <w:r>
        <w:rPr>
          <w:rFonts w:hint="eastAsia"/>
          <w:lang w:eastAsia="ko-KR"/>
        </w:rPr>
        <w:t xml:space="preserve"> coded bits or</w:t>
      </w:r>
      <w:r>
        <w:t xml:space="preserve"> ACK/NAK coded bits</w:t>
      </w:r>
    </w:p>
    <w:p w:rsidR="002B296D" w:rsidRDefault="00856F14">
      <w:pPr>
        <w:ind w:left="284" w:firstLine="284"/>
      </w:pPr>
      <w:r>
        <w:rPr>
          <w:position w:val="-10"/>
        </w:rPr>
        <w:object w:dxaOrig="2000" w:dyaOrig="340">
          <v:shape id="_x0000_i1029" type="#_x0000_t75" style="width:99.75pt;height:17.25pt" o:ole="">
            <v:imagedata r:id="rId13" o:title=""/>
          </v:shape>
          <o:OLEObject Type="Embed" ProgID="Equation.3" ShapeID="_x0000_i1029" DrawAspect="Content" ObjectID="_1547045117" r:id="rId14"/>
        </w:object>
      </w:r>
    </w:p>
    <w:p w:rsidR="002B296D" w:rsidRDefault="00856F14">
      <w:pPr>
        <w:ind w:left="567"/>
      </w:pPr>
      <w:proofErr w:type="gramStart"/>
      <w:r>
        <w:t>end</w:t>
      </w:r>
      <w:proofErr w:type="gramEnd"/>
      <w:r>
        <w:t xml:space="preserve"> if</w:t>
      </w:r>
    </w:p>
    <w:p w:rsidR="002B296D" w:rsidRDefault="00856F14">
      <w:pPr>
        <w:rPr>
          <w:i/>
        </w:rPr>
      </w:pPr>
      <w:r>
        <w:tab/>
      </w:r>
      <w:proofErr w:type="gramStart"/>
      <w:r>
        <w:rPr>
          <w:rFonts w:hint="eastAsia"/>
          <w:sz w:val="21"/>
        </w:rPr>
        <w:t>end</w:t>
      </w:r>
      <w:proofErr w:type="gramEnd"/>
      <w:r>
        <w:rPr>
          <w:rFonts w:hint="eastAsia"/>
          <w:sz w:val="21"/>
        </w:rPr>
        <w:t xml:space="preserve"> if</w:t>
      </w:r>
      <w:r>
        <w:rPr>
          <w:i/>
        </w:rPr>
        <w:t xml:space="preserve"> </w:t>
      </w:r>
    </w:p>
    <w:p w:rsidR="002B296D" w:rsidRDefault="00856F14">
      <w:proofErr w:type="spellStart"/>
      <w:r>
        <w:rPr>
          <w:i/>
        </w:rPr>
        <w:t>i</w:t>
      </w:r>
      <w:proofErr w:type="spellEnd"/>
      <w:r>
        <w:t xml:space="preserve"> = </w:t>
      </w:r>
      <w:proofErr w:type="spellStart"/>
      <w:r>
        <w:rPr>
          <w:i/>
        </w:rPr>
        <w:t>i</w:t>
      </w:r>
      <w:proofErr w:type="spellEnd"/>
      <w:r>
        <w:t xml:space="preserve"> + 1</w:t>
      </w:r>
    </w:p>
    <w:p w:rsidR="002B296D" w:rsidRDefault="00856F14">
      <w:proofErr w:type="gramStart"/>
      <w:r>
        <w:t>end</w:t>
      </w:r>
      <w:proofErr w:type="gramEnd"/>
      <w:r>
        <w:t xml:space="preserve"> while</w:t>
      </w:r>
    </w:p>
    <w:p w:rsidR="002B296D" w:rsidRDefault="002B296D"/>
    <w:p w:rsidR="002B296D" w:rsidRDefault="00856F14">
      <w:r>
        <w:t xml:space="preserve">Control data arrives at the coding unit in the form of channel quality information (CQI and/or PMI), HARQ-ACK and rank indication. Different coding rates for the control information </w:t>
      </w:r>
      <w:proofErr w:type="gramStart"/>
      <w:r>
        <w:t>are achieved</w:t>
      </w:r>
      <w:proofErr w:type="gramEnd"/>
      <w:r>
        <w:t xml:space="preserve"> by allocating different number </w:t>
      </w:r>
      <w:r>
        <w:t>of coded symbols for its trans</w:t>
      </w:r>
      <w:r>
        <w:t xml:space="preserve">mission. When control data </w:t>
      </w:r>
      <w:proofErr w:type="gramStart"/>
      <w:r>
        <w:t>are transmitted</w:t>
      </w:r>
      <w:proofErr w:type="gramEnd"/>
      <w:r>
        <w:t xml:space="preserve"> in the PUSCH, the channel coding for </w:t>
      </w:r>
      <w:r>
        <w:t>HARQ-ACK, rank indication and channel quality information is done independently.</w:t>
      </w:r>
    </w:p>
    <w:p w:rsidR="002B296D" w:rsidRDefault="002B296D"/>
    <w:p w:rsidR="002B296D" w:rsidRDefault="00856F14">
      <w:pPr>
        <w:rPr>
          <w:b/>
          <w:bCs/>
          <w:lang w:eastAsia="ko-KR"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we ignore ACK/NAK </w:t>
      </w:r>
      <w:r>
        <w:rPr>
          <w:rFonts w:hint="eastAsia"/>
          <w:b/>
          <w:bCs/>
          <w:lang w:eastAsia="ko-KR"/>
        </w:rPr>
        <w:t>or Rank</w:t>
      </w:r>
      <w:r>
        <w:rPr>
          <w:b/>
          <w:bCs/>
          <w:lang w:eastAsia="ko-KR"/>
        </w:rPr>
        <w:t xml:space="preserve"> Indication</w:t>
      </w:r>
      <w:r>
        <w:rPr>
          <w:rFonts w:hint="eastAsia"/>
          <w:b/>
          <w:bCs/>
          <w:lang w:eastAsia="ko-KR"/>
        </w:rPr>
        <w:t xml:space="preserve"> repetition placeholder bits</w:t>
      </w:r>
      <w:r>
        <w:rPr>
          <w:b/>
          <w:bCs/>
          <w:lang w:eastAsia="ko-KR"/>
        </w:rPr>
        <w:t xml:space="preserve"> for simplicity.</w:t>
      </w:r>
    </w:p>
    <w:p w:rsidR="002B296D" w:rsidRDefault="00856F14">
      <w:pPr>
        <w:rPr>
          <w:b/>
          <w:bCs/>
          <w:lang w:eastAsia="ko-KR"/>
        </w:rPr>
      </w:pPr>
      <w:r>
        <w:rPr>
          <w:b/>
          <w:bCs/>
          <w:lang w:eastAsia="ko-KR"/>
        </w:rPr>
        <w:t>The new ps</w:t>
      </w:r>
      <w:r>
        <w:rPr>
          <w:b/>
          <w:bCs/>
          <w:lang w:eastAsia="ko-KR"/>
        </w:rPr>
        <w:t xml:space="preserve">eudo code </w:t>
      </w:r>
      <w:proofErr w:type="gramStart"/>
      <w:r>
        <w:rPr>
          <w:b/>
          <w:bCs/>
          <w:lang w:eastAsia="ko-KR"/>
        </w:rPr>
        <w:t>is :</w:t>
      </w:r>
      <w:proofErr w:type="gramEnd"/>
    </w:p>
    <w:p w:rsidR="002B296D" w:rsidRDefault="002B296D">
      <w:pPr>
        <w:rPr>
          <w:b/>
          <w:bCs/>
          <w:lang w:eastAsia="ko-KR"/>
        </w:rPr>
      </w:pPr>
    </w:p>
    <w:p w:rsidR="002B296D" w:rsidRDefault="00856F14">
      <w:r>
        <w:t xml:space="preserve">Set </w:t>
      </w:r>
      <w:proofErr w:type="spellStart"/>
      <w:r>
        <w:rPr>
          <w:i/>
        </w:rPr>
        <w:t>i</w:t>
      </w:r>
      <w:proofErr w:type="spellEnd"/>
      <w:r>
        <w:t xml:space="preserve"> = 0</w:t>
      </w:r>
    </w:p>
    <w:p w:rsidR="002B296D" w:rsidRDefault="00856F14">
      <w:proofErr w:type="gramStart"/>
      <w:r>
        <w:t>while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t xml:space="preserve"> &lt; </w:t>
      </w:r>
      <w:r>
        <w:rPr>
          <w:i/>
        </w:rPr>
        <w:t>M</w:t>
      </w:r>
      <w:r>
        <w:rPr>
          <w:i/>
          <w:vertAlign w:val="subscript"/>
        </w:rPr>
        <w:t>bit</w:t>
      </w:r>
    </w:p>
    <w:p w:rsidR="002B296D" w:rsidRDefault="00856F14">
      <w:r>
        <w:rPr>
          <w:position w:val="-10"/>
        </w:rPr>
        <w:object w:dxaOrig="2000" w:dyaOrig="340">
          <v:shape id="_x0000_i1030" type="#_x0000_t75" style="width:99.75pt;height:17.25pt" o:ole="">
            <v:imagedata r:id="rId13" o:title=""/>
          </v:shape>
          <o:OLEObject Type="Embed" ProgID="Equation.3" ShapeID="_x0000_i1030" DrawAspect="Content" ObjectID="_1547045118" r:id="rId15"/>
        </w:object>
      </w:r>
      <w:r>
        <w:tab/>
      </w:r>
      <w:r>
        <w:tab/>
      </w:r>
    </w:p>
    <w:p w:rsidR="002B296D" w:rsidRDefault="00856F14">
      <w:proofErr w:type="spellStart"/>
      <w:r>
        <w:rPr>
          <w:i/>
        </w:rPr>
        <w:t>i</w:t>
      </w:r>
      <w:proofErr w:type="spellEnd"/>
      <w:r>
        <w:t xml:space="preserve"> = </w:t>
      </w:r>
      <w:proofErr w:type="spellStart"/>
      <w:r>
        <w:rPr>
          <w:i/>
        </w:rPr>
        <w:t>i</w:t>
      </w:r>
      <w:proofErr w:type="spellEnd"/>
      <w:r>
        <w:t xml:space="preserve"> + 1</w:t>
      </w:r>
    </w:p>
    <w:p w:rsidR="002B296D" w:rsidRDefault="00856F14">
      <w:proofErr w:type="gramStart"/>
      <w:r>
        <w:t>end</w:t>
      </w:r>
      <w:proofErr w:type="gramEnd"/>
      <w:r>
        <w:t xml:space="preserve"> while</w:t>
      </w:r>
    </w:p>
    <w:p w:rsidR="002B296D" w:rsidRDefault="002B296D">
      <w:pPr>
        <w:rPr>
          <w:lang w:eastAsia="ko-KR"/>
        </w:rPr>
      </w:pPr>
    </w:p>
    <w:p w:rsidR="002B296D" w:rsidRDefault="002B296D">
      <w:pPr>
        <w:rPr>
          <w:lang w:eastAsia="ko-KR"/>
        </w:rPr>
      </w:pPr>
    </w:p>
    <w:p w:rsidR="002B296D" w:rsidRDefault="002B296D">
      <w:pPr>
        <w:rPr>
          <w:lang w:eastAsia="ko-KR"/>
        </w:rPr>
      </w:pPr>
    </w:p>
    <w:p w:rsidR="002B296D" w:rsidRDefault="002B296D">
      <w:pPr>
        <w:rPr>
          <w:lang w:eastAsia="ko-KR"/>
        </w:rPr>
      </w:pPr>
    </w:p>
    <w:p w:rsidR="002B296D" w:rsidRDefault="00856F14">
      <w:pPr>
        <w:rPr>
          <w:b/>
          <w:bCs/>
        </w:rPr>
      </w:pPr>
      <w:proofErr w:type="gramStart"/>
      <w:r>
        <w:rPr>
          <w:b/>
          <w:bCs/>
        </w:rPr>
        <w:t>Where :</w:t>
      </w:r>
      <w:proofErr w:type="gramEnd"/>
      <w:r>
        <w:rPr>
          <w:b/>
          <w:bCs/>
        </w:rPr>
        <w:t xml:space="preserve"> </w:t>
      </w:r>
    </w:p>
    <w:p w:rsidR="002B296D" w:rsidRDefault="00856F14">
      <w:r>
        <w:rPr>
          <w:position w:val="-10"/>
        </w:rPr>
        <w:object w:dxaOrig="4169" w:dyaOrig="479">
          <v:shape id="_x0000_i1031" type="#_x0000_t75" alt="" style="width:208.5pt;height:24pt" o:ole="">
            <v:imagedata r:id="rId16" o:title=""/>
          </v:shape>
          <o:OLEObject Type="Embed" ProgID="Equation.3" ShapeID="_x0000_i1031" DrawAspect="Content" ObjectID="_1547045119" r:id="rId17"/>
        </w:object>
      </w:r>
      <w:r>
        <w:t>.</w:t>
      </w:r>
    </w:p>
    <w:p w:rsidR="002B296D" w:rsidRDefault="00856F14">
      <w:proofErr w:type="spellStart"/>
      <w:proofErr w:type="gramStart"/>
      <w:r>
        <w:rPr>
          <w:rFonts w:hint="eastAsia"/>
        </w:rPr>
        <w:t>n</w:t>
      </w:r>
      <w:r>
        <w:rPr>
          <w:rFonts w:hint="eastAsia"/>
          <w:vertAlign w:val="subscript"/>
        </w:rPr>
        <w:t>RNTI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Radio</w:t>
      </w:r>
      <w:proofErr w:type="gramEnd"/>
      <w:r>
        <w:rPr>
          <w:rFonts w:hint="eastAsia"/>
        </w:rPr>
        <w:t xml:space="preserve"> network temporary identifier</w:t>
      </w:r>
    </w:p>
    <w:p w:rsidR="002B296D" w:rsidRDefault="00856F14">
      <w:proofErr w:type="spellStart"/>
      <w:proofErr w:type="gramStart"/>
      <w:r>
        <w:t>n</w:t>
      </w:r>
      <w:r>
        <w:rPr>
          <w:vertAlign w:val="subscript"/>
        </w:rPr>
        <w:t>ID</w:t>
      </w:r>
      <w:proofErr w:type="spellEnd"/>
      <w:proofErr w:type="gramEnd"/>
      <w:r>
        <w:t xml:space="preserve">    Physical layer cell identity</w:t>
      </w:r>
    </w:p>
    <w:p w:rsidR="002B296D" w:rsidRDefault="00856F14">
      <w:proofErr w:type="gramStart"/>
      <w:r>
        <w:t>n</w:t>
      </w:r>
      <w:r>
        <w:rPr>
          <w:vertAlign w:val="subscript"/>
        </w:rPr>
        <w:t>s</w:t>
      </w:r>
      <w:proofErr w:type="gramEnd"/>
      <w:r>
        <w:rPr>
          <w:vertAlign w:val="subscript"/>
        </w:rPr>
        <w:t xml:space="preserve">       </w:t>
      </w:r>
      <w:r>
        <w:t>Slot number within a radio frame</w:t>
      </w:r>
    </w:p>
    <w:p w:rsidR="002B296D" w:rsidRDefault="00856F14">
      <w:pPr>
        <w:pStyle w:val="Heading2"/>
      </w:pPr>
      <w:r>
        <w:t xml:space="preserve">* RNTI </w:t>
      </w:r>
      <w:proofErr w:type="gramStart"/>
      <w:r>
        <w:t>( Radio</w:t>
      </w:r>
      <w:proofErr w:type="gramEnd"/>
      <w:r>
        <w:t xml:space="preserve"> network temporary identifier ) : </w:t>
      </w:r>
    </w:p>
    <w:p w:rsidR="002B296D" w:rsidRDefault="00856F14"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"http://www.sharetechnote.com/html/Handbook_LTE_RNTI.html" </w:instrText>
      </w:r>
      <w:r>
        <w:fldChar w:fldCharType="separate"/>
      </w:r>
      <w:r>
        <w:rPr>
          <w:rStyle w:val="Hyperlink"/>
        </w:rPr>
        <w:t>http://www.sharetechnote.com/html/Handbook_LTE_RNTI.html</w:t>
      </w:r>
      <w:r>
        <w:fldChar w:fldCharType="end"/>
      </w:r>
      <w:r>
        <w:t xml:space="preserve"> )</w:t>
      </w:r>
    </w:p>
    <w:p w:rsidR="002B296D" w:rsidRDefault="00856F14"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"http://howltestuffworks.blogspot.com.eg/2014/06/rntis-in-lt</w:instrText>
      </w:r>
      <w:r>
        <w:instrText xml:space="preserve">e.html" </w:instrText>
      </w:r>
      <w:r>
        <w:fldChar w:fldCharType="separate"/>
      </w:r>
      <w:r>
        <w:rPr>
          <w:rStyle w:val="Hyperlink"/>
        </w:rPr>
        <w:t>http://howltestuffworks.blogspot.com.eg/2014/06/rntis-in-lte.html</w:t>
      </w:r>
      <w:r>
        <w:fldChar w:fldCharType="end"/>
      </w:r>
      <w:r>
        <w:t xml:space="preserve"> )</w:t>
      </w:r>
    </w:p>
    <w:p w:rsidR="002B296D" w:rsidRDefault="002B296D"/>
    <w:p w:rsidR="002B296D" w:rsidRDefault="00856F14">
      <w:proofErr w:type="gramStart"/>
      <w:r>
        <w:t>this</w:t>
      </w:r>
      <w:proofErr w:type="gramEnd"/>
      <w:r>
        <w:t xml:space="preserve"> RNTI is used to identify one specific radio channel from other radio channel and one user from another user.</w:t>
      </w:r>
    </w:p>
    <w:p w:rsidR="002B296D" w:rsidRDefault="002B296D"/>
    <w:p w:rsidR="002B296D" w:rsidRDefault="00856F14">
      <w:r>
        <w:t>Putting it very simply, you can think of RNTI as a kind of UE</w:t>
      </w:r>
      <w:r>
        <w:t xml:space="preserve"> ID for the traffic between UE and </w:t>
      </w:r>
      <w:proofErr w:type="spellStart"/>
      <w:r>
        <w:t>eNB</w:t>
      </w:r>
      <w:proofErr w:type="spellEnd"/>
      <w:r>
        <w:t xml:space="preserve"> lower layer. </w:t>
      </w:r>
      <w:proofErr w:type="gramStart"/>
      <w:r>
        <w:t>But</w:t>
      </w:r>
      <w:proofErr w:type="gramEnd"/>
      <w:r>
        <w:t xml:space="preserve"> it would be more accurate to think of it as 'UE ID + Channel ID' since each type of channel has its own range of RNTI value.</w:t>
      </w:r>
    </w:p>
    <w:p w:rsidR="002B296D" w:rsidRDefault="002B296D"/>
    <w:p w:rsidR="002B296D" w:rsidRDefault="00856F14">
      <w:r>
        <w:t xml:space="preserve">Who issues these </w:t>
      </w:r>
      <w:proofErr w:type="gramStart"/>
      <w:r>
        <w:t>RNTI ?</w:t>
      </w:r>
      <w:proofErr w:type="gramEnd"/>
    </w:p>
    <w:p w:rsidR="002B296D" w:rsidRDefault="00856F14">
      <w:r>
        <w:t>Network issues RNTI.</w:t>
      </w:r>
    </w:p>
    <w:p w:rsidR="002B296D" w:rsidRDefault="002B296D"/>
    <w:p w:rsidR="002B296D" w:rsidRDefault="00856F14">
      <w:r>
        <w:t xml:space="preserve">If </w:t>
      </w:r>
      <w:proofErr w:type="gramStart"/>
      <w:r>
        <w:t>a UE is configured by hig</w:t>
      </w:r>
      <w:r>
        <w:t>her layers to decode PDCCHs with the CRC scrambled by the C-RNTI</w:t>
      </w:r>
      <w:proofErr w:type="gramEnd"/>
      <w:r>
        <w:t xml:space="preserve">, the UE shall </w:t>
      </w:r>
      <w:r>
        <w:lastRenderedPageBreak/>
        <w:t>decode the PDCCH according to the combination defined in table 8-3 and transmit the corresponding PUSCH. The scrambling initialization of this PUSCH corresponding to these PDCCH</w:t>
      </w:r>
      <w:r>
        <w:t>s and the PUSCH re-transmission for the same transport block is by C-RNTI.</w:t>
      </w:r>
    </w:p>
    <w:p w:rsidR="002B296D" w:rsidRDefault="002B296D"/>
    <w:p w:rsidR="002B296D" w:rsidRDefault="002B296D"/>
    <w:p w:rsidR="002B296D" w:rsidRDefault="00856F14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37465</wp:posOffset>
            </wp:positionV>
            <wp:extent cx="7153275" cy="3505200"/>
            <wp:effectExtent l="0" t="0" r="9525" b="0"/>
            <wp:wrapTopAndBottom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2B296D" w:rsidRDefault="002B296D"/>
    <w:p w:rsidR="002B296D" w:rsidRDefault="00856F14">
      <w:pPr>
        <w:widowControl/>
        <w:jc w:val="left"/>
      </w:pPr>
      <w:r>
        <w:rPr>
          <w:rFonts w:ascii="SimSun" w:eastAsia="SimSun" w:hAnsi="SimSun" w:cs="SimSun"/>
          <w:kern w:val="0"/>
          <w:lang w:bidi="ar"/>
        </w:rPr>
        <w:fldChar w:fldCharType="begin"/>
      </w:r>
      <w:r>
        <w:rPr>
          <w:rFonts w:ascii="SimSun" w:eastAsia="SimSun" w:hAnsi="SimSun" w:cs="SimSun"/>
          <w:kern w:val="0"/>
          <w:lang w:bidi="ar"/>
        </w:rPr>
        <w:instrText xml:space="preserve">INCLUDEPICTURE \d "http://www.sharetechnote.com/image/36_321_Table_7_1_1.png" \* MERGEFORMATINET </w:instrText>
      </w:r>
      <w:r>
        <w:rPr>
          <w:rFonts w:ascii="SimSun" w:eastAsia="SimSun" w:hAnsi="SimSun" w:cs="SimSun"/>
          <w:kern w:val="0"/>
          <w:lang w:bidi="ar"/>
        </w:rPr>
        <w:fldChar w:fldCharType="separate"/>
      </w:r>
      <w:r>
        <w:rPr>
          <w:rFonts w:ascii="SimSun" w:eastAsia="SimSun" w:hAnsi="SimSun" w:cs="SimSun"/>
          <w:noProof/>
          <w:kern w:val="0"/>
          <w:lang w:eastAsia="en-US"/>
        </w:rPr>
        <w:drawing>
          <wp:inline distT="0" distB="0" distL="114300" distR="114300">
            <wp:extent cx="6105525" cy="214312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lang w:bidi="ar"/>
        </w:rPr>
        <w:fldChar w:fldCharType="end"/>
      </w:r>
    </w:p>
    <w:p w:rsidR="002B296D" w:rsidRDefault="002B296D"/>
    <w:p w:rsidR="002B296D" w:rsidRDefault="002B296D"/>
    <w:p w:rsidR="002B296D" w:rsidRDefault="00856F14">
      <w:pPr>
        <w:pStyle w:val="NormalWeb"/>
        <w:shd w:val="clear" w:color="auto" w:fill="FFFFFF"/>
        <w:spacing w:beforeAutospacing="0" w:afterAutospacing="0" w:line="360" w:lineRule="atLeast"/>
        <w:rPr>
          <w:color w:val="000000"/>
        </w:rPr>
      </w:pPr>
      <w:bookmarkStart w:id="0" w:name="Who_determines_RNTI"/>
      <w:r>
        <w:rPr>
          <w:rFonts w:ascii="Verdana" w:hAnsi="Verdana" w:cs="Verdana"/>
          <w:b/>
          <w:color w:val="009900"/>
          <w:shd w:val="clear" w:color="auto" w:fill="FFFFFF"/>
        </w:rPr>
        <w:t xml:space="preserve">How/Who determines each types of </w:t>
      </w:r>
      <w:proofErr w:type="gramStart"/>
      <w:r>
        <w:rPr>
          <w:rFonts w:ascii="Verdana" w:hAnsi="Verdana" w:cs="Verdana"/>
          <w:b/>
          <w:color w:val="009900"/>
          <w:shd w:val="clear" w:color="auto" w:fill="FFFFFF"/>
        </w:rPr>
        <w:t>RNTI ?</w:t>
      </w:r>
      <w:bookmarkEnd w:id="0"/>
      <w:proofErr w:type="gramEnd"/>
    </w:p>
    <w:p w:rsidR="002B296D" w:rsidRDefault="00856F14">
      <w:pPr>
        <w:pStyle w:val="NormalWeb"/>
        <w:shd w:val="clear" w:color="auto" w:fill="FFFFFF"/>
        <w:spacing w:beforeAutospacing="0" w:afterAutospacing="0" w:line="360" w:lineRule="atLeast"/>
        <w:rPr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</w:p>
    <w:p w:rsidR="002B296D" w:rsidRDefault="00856F1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t>RA-</w:t>
      </w:r>
      <w:proofErr w:type="gramStart"/>
      <w:r>
        <w:t>RNTI :</w:t>
      </w:r>
      <w:proofErr w:type="gramEnd"/>
      <w:r>
        <w:t xml:space="preserve"> UE determines </w:t>
      </w:r>
      <w:r>
        <w:t>RA-RNTI as explained in </w:t>
      </w:r>
      <w:hyperlink r:id="rId22" w:anchor="How_can_we_get_RA_RNTI" w:history="1">
        <w:r>
          <w:rPr>
            <w:rStyle w:val="Hyperlink"/>
            <w:rFonts w:ascii="Verdana" w:hAnsi="Verdana" w:cs="Verdana"/>
            <w:sz w:val="20"/>
            <w:szCs w:val="20"/>
            <w:shd w:val="clear" w:color="auto" w:fill="FFFFFF"/>
          </w:rPr>
          <w:t>here in the RACH page</w:t>
        </w:r>
      </w:hyperlink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.</w:t>
      </w:r>
    </w:p>
    <w:p w:rsidR="002B296D" w:rsidRDefault="00856F1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t>T-</w:t>
      </w:r>
      <w:proofErr w:type="gramStart"/>
      <w:r>
        <w:t>CRNTI :</w:t>
      </w:r>
      <w:proofErr w:type="gramEnd"/>
      <w:r>
        <w:t xml:space="preserve"> Network allocate T-CRNTI via RAR as shown in </w:t>
      </w:r>
      <w:hyperlink r:id="rId23" w:anchor="RACH_Procedure_for_Initial_Registration" w:history="1">
        <w:r>
          <w:rPr>
            <w:rStyle w:val="Hyperlink"/>
            <w:rFonts w:ascii="Verdana" w:hAnsi="Verdana" w:cs="Verdana"/>
            <w:sz w:val="20"/>
            <w:szCs w:val="20"/>
            <w:shd w:val="clear" w:color="auto" w:fill="FFFFFF"/>
          </w:rPr>
          <w:t>here in the RACH page.</w:t>
        </w:r>
      </w:hyperlink>
    </w:p>
    <w:p w:rsidR="002B296D" w:rsidRDefault="00856F14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C</w:t>
      </w:r>
      <w:r>
        <w:t>-</w:t>
      </w:r>
      <w:proofErr w:type="gramStart"/>
      <w:r>
        <w:t>RNTI :</w:t>
      </w:r>
      <w:proofErr w:type="gramEnd"/>
      <w:r>
        <w:t xml:space="preserve"> T-CRNTI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 xml:space="preserve">becomes </w:t>
      </w:r>
      <w:r>
        <w:t xml:space="preserve">C-RNTI once Contention Resolution gets 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passed.</w:t>
      </w:r>
    </w:p>
    <w:p w:rsidR="002B296D" w:rsidRDefault="002B296D"/>
    <w:p w:rsidR="002B296D" w:rsidRDefault="00856F14">
      <w:pPr>
        <w:pStyle w:val="Heading2"/>
      </w:pPr>
      <w:r>
        <w:t xml:space="preserve"> * Physical layer cell identity</w:t>
      </w:r>
    </w:p>
    <w:p w:rsidR="002B296D" w:rsidRDefault="00856F14">
      <w:r>
        <w:t>As the terminology implies</w:t>
      </w:r>
      <w:r>
        <w:t xml:space="preserve">, </w:t>
      </w:r>
      <w:r>
        <w:t xml:space="preserve">Physical Cell ID is an </w:t>
      </w:r>
      <w:proofErr w:type="spellStart"/>
      <w:r>
        <w:t>indentification</w:t>
      </w:r>
      <w:proofErr w:type="spellEnd"/>
      <w:r>
        <w:t xml:space="preserve"> of a cell at </w:t>
      </w:r>
      <w:r>
        <w:t>physical layer. It has similar role as Primary Scrambling Code of UMTS cell.</w:t>
      </w:r>
    </w:p>
    <w:p w:rsidR="002B296D" w:rsidRDefault="00856F14">
      <w:proofErr w:type="gramStart"/>
      <w:r>
        <w:t>This</w:t>
      </w:r>
      <w:proofErr w:type="gramEnd"/>
      <w:r>
        <w:t xml:space="preserve"> physical cell ID is determined by </w:t>
      </w:r>
      <w:hyperlink r:id="rId24" w:history="1">
        <w:r>
          <w:rPr>
            <w:rStyle w:val="Hyperlink"/>
            <w:rFonts w:ascii="Verdana" w:hAnsi="Verdana" w:cs="Verdana"/>
            <w:sz w:val="20"/>
            <w:szCs w:val="20"/>
            <w:shd w:val="clear" w:color="auto" w:fill="FFFFFF"/>
          </w:rPr>
          <w:t>Primary Sync Signal and Secondary Sync Signal</w:t>
        </w:r>
      </w:hyperlink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 </w:t>
      </w:r>
      <w:r>
        <w:t xml:space="preserve">as </w:t>
      </w:r>
      <w:r>
        <w:t>described below.</w:t>
      </w:r>
    </w:p>
    <w:p w:rsidR="002B296D" w:rsidRDefault="002B296D"/>
    <w:p w:rsidR="002B296D" w:rsidRDefault="00856F14">
      <w:pPr>
        <w:widowControl/>
        <w:jc w:val="left"/>
      </w:pPr>
      <w:r>
        <w:rPr>
          <w:rFonts w:ascii="SimSun" w:eastAsia="SimSun" w:hAnsi="SimSun" w:cs="SimSun"/>
          <w:noProof/>
          <w:kern w:val="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226810" cy="1982470"/>
            <wp:effectExtent l="0" t="0" r="2540" b="17780"/>
            <wp:wrapTopAndBottom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2B296D" w:rsidRDefault="00856F14">
      <w:pPr>
        <w:pStyle w:val="Heading2"/>
      </w:pPr>
      <w:r>
        <w:t>* Pseudo-random sequence generation</w:t>
      </w:r>
    </w:p>
    <w:p w:rsidR="002B296D" w:rsidRDefault="00856F14">
      <w:r>
        <w:t xml:space="preserve">Pseudo-random sequences </w:t>
      </w:r>
      <w:proofErr w:type="gramStart"/>
      <w:r>
        <w:t>are defined</w:t>
      </w:r>
      <w:proofErr w:type="gramEnd"/>
      <w:r>
        <w:t xml:space="preserve"> by a length-31 Gold sequence. The output sequence </w:t>
      </w:r>
      <w:r>
        <w:rPr>
          <w:position w:val="-10"/>
        </w:rPr>
        <w:object w:dxaOrig="420" w:dyaOrig="300">
          <v:shape id="_x0000_i1032" type="#_x0000_t75" style="width:21pt;height:15pt" o:ole="">
            <v:imagedata r:id="rId27" o:title=""/>
          </v:shape>
          <o:OLEObject Type="Embed" ProgID="Equation.3" ShapeID="_x0000_i1032" DrawAspect="Content" ObjectID="_1547045120" r:id="rId28"/>
        </w:object>
      </w:r>
      <w:r>
        <w:t xml:space="preserve"> of length</w:t>
      </w:r>
      <w:r>
        <w:rPr>
          <w:position w:val="-10"/>
        </w:rPr>
        <w:object w:dxaOrig="460" w:dyaOrig="300">
          <v:shape id="_x0000_i1033" type="#_x0000_t75" style="width:23.25pt;height:15pt" o:ole="">
            <v:imagedata r:id="rId29" o:title=""/>
          </v:shape>
          <o:OLEObject Type="Embed" ProgID="Equation.3" ShapeID="_x0000_i1033" DrawAspect="Content" ObjectID="_1547045121" r:id="rId30"/>
        </w:object>
      </w:r>
      <w:r>
        <w:t>, where</w:t>
      </w:r>
      <w:r>
        <w:rPr>
          <w:position w:val="-10"/>
        </w:rPr>
        <w:object w:dxaOrig="1520" w:dyaOrig="300">
          <v:shape id="_x0000_i1034" type="#_x0000_t75" style="width:75.75pt;height:15pt" o:ole="">
            <v:imagedata r:id="rId31" o:title=""/>
          </v:shape>
          <o:OLEObject Type="Embed" ProgID="Equation.3" ShapeID="_x0000_i1034" DrawAspect="Content" ObjectID="_1547045122" r:id="rId32"/>
        </w:object>
      </w:r>
      <w:r>
        <w:t xml:space="preserve">, is defined by </w:t>
      </w:r>
    </w:p>
    <w:p w:rsidR="002B296D" w:rsidRDefault="00856F14">
      <w:pPr>
        <w:pStyle w:val="EQ"/>
        <w:jc w:val="center"/>
      </w:pPr>
      <w:r>
        <w:rPr>
          <w:rFonts w:eastAsia="Batang"/>
          <w:position w:val="-48"/>
        </w:rPr>
        <w:object w:dxaOrig="4743" w:dyaOrig="908">
          <v:shape id="_x0000_i1035" type="#_x0000_t75" style="width:237pt;height:45.75pt" o:ole="">
            <v:imagedata r:id="rId33" o:title=""/>
          </v:shape>
          <o:OLEObject Type="Embed" ProgID="Equation.3" ShapeID="_x0000_i1035" DrawAspect="Content" ObjectID="_1547045123" r:id="rId34"/>
        </w:object>
      </w:r>
    </w:p>
    <w:p w:rsidR="002B296D" w:rsidRDefault="00856F14">
      <w:proofErr w:type="gramStart"/>
      <w:r>
        <w:t>where</w:t>
      </w:r>
      <w:proofErr w:type="gramEnd"/>
      <w:r>
        <w:t xml:space="preserve"> </w:t>
      </w:r>
      <w:r>
        <w:rPr>
          <w:rFonts w:eastAsia="Batang"/>
          <w:position w:val="-12"/>
        </w:rPr>
        <w:object w:dxaOrig="936" w:dyaOrig="300">
          <v:shape id="_x0000_i1036" type="#_x0000_t75" style="width:46.5pt;height:15pt" o:ole="">
            <v:imagedata r:id="rId35" o:title=""/>
          </v:shape>
          <o:OLEObject Type="Embed" ProgID="Equation.3" ShapeID="_x0000_i1036" DrawAspect="Content" ObjectID="_1547045124" r:id="rId36"/>
        </w:object>
      </w:r>
      <w:r>
        <w:rPr>
          <w:rFonts w:eastAsia="Batang"/>
        </w:rPr>
        <w:t xml:space="preserve">and </w:t>
      </w:r>
      <w:r>
        <w:t>the first m-sequence shall be initialized with</w:t>
      </w:r>
      <w:r>
        <w:rPr>
          <w:position w:val="-10"/>
        </w:rPr>
        <w:object w:dxaOrig="2580" w:dyaOrig="300">
          <v:shape id="_x0000_i1037" type="#_x0000_t75" style="width:129pt;height:15pt" o:ole="">
            <v:imagedata r:id="rId37" o:title=""/>
          </v:shape>
          <o:OLEObject Type="Embed" ProgID="Equation.3" ShapeID="_x0000_i1037" DrawAspect="Content" ObjectID="_1547045125" r:id="rId38"/>
        </w:object>
      </w:r>
      <w:r>
        <w:t xml:space="preserve">. The initialization of the second m-sequence </w:t>
      </w:r>
      <w:proofErr w:type="gramStart"/>
      <w:r>
        <w:t>is denoted</w:t>
      </w:r>
      <w:proofErr w:type="gramEnd"/>
      <w:r>
        <w:t xml:space="preserve"> by </w:t>
      </w:r>
      <w:r>
        <w:rPr>
          <w:position w:val="-16"/>
        </w:rPr>
        <w:object w:dxaOrig="1740" w:dyaOrig="460">
          <v:shape id="_x0000_i1038" type="#_x0000_t75" style="width:87pt;height:23.25pt" o:ole="">
            <v:imagedata r:id="rId39" o:title=""/>
          </v:shape>
          <o:OLEObject Type="Embed" ProgID="Equation.3" ShapeID="_x0000_i1038" DrawAspect="Content" ObjectID="_1547045126" r:id="rId40"/>
        </w:object>
      </w:r>
      <w:r>
        <w:t xml:space="preserve"> with the value depending on the application of the </w:t>
      </w:r>
      <w:r>
        <w:t>sequence.</w:t>
      </w:r>
    </w:p>
    <w:p w:rsidR="002B296D" w:rsidRDefault="002B296D"/>
    <w:p w:rsidR="002B296D" w:rsidRDefault="00856F14">
      <w:pPr>
        <w:pStyle w:val="Heading2"/>
        <w:rPr>
          <w:b/>
          <w:bCs/>
        </w:rPr>
      </w:pPr>
      <w:bookmarkStart w:id="1" w:name="_Toc248137532"/>
      <w:r>
        <w:rPr>
          <w:b/>
          <w:bCs/>
        </w:rPr>
        <w:t>Modulation</w:t>
      </w:r>
      <w:bookmarkEnd w:id="1"/>
    </w:p>
    <w:p w:rsidR="002B296D" w:rsidRDefault="00856F14">
      <w:bookmarkStart w:id="2" w:name="OLE_LINK17"/>
      <w:bookmarkStart w:id="3" w:name="OLE_LINK16"/>
      <w:r>
        <w:t xml:space="preserve">The block of scrambled bits </w:t>
      </w:r>
      <w:r>
        <w:rPr>
          <w:position w:val="-10"/>
        </w:rPr>
        <w:object w:dxaOrig="1600" w:dyaOrig="340">
          <v:shape id="_x0000_i1039" type="#_x0000_t75" style="width:80.25pt;height:17.25pt" o:ole="">
            <v:imagedata r:id="rId41" o:title=""/>
          </v:shape>
          <o:OLEObject Type="Embed" ProgID="Equation.3" ShapeID="_x0000_i1039" DrawAspect="Content" ObjectID="_1547045127" r:id="rId42"/>
        </w:object>
      </w:r>
      <w:proofErr w:type="gramStart"/>
      <w:r>
        <w:t>shall be modulated</w:t>
      </w:r>
      <w:proofErr w:type="gramEnd"/>
      <w:r>
        <w:t xml:space="preserve"> as described in Section 7.1, resulting in a block of complex-valued symbols</w:t>
      </w:r>
      <w:bookmarkStart w:id="4" w:name="OLE_LINK57"/>
      <w:r>
        <w:rPr>
          <w:position w:val="-14"/>
        </w:rPr>
        <w:object w:dxaOrig="1719" w:dyaOrig="340">
          <v:shape id="_x0000_i1040" type="#_x0000_t75" style="width:86.25pt;height:17.25pt" o:ole="">
            <v:imagedata r:id="rId43" o:title=""/>
          </v:shape>
          <o:OLEObject Type="Embed" ProgID="Equation.3" ShapeID="_x0000_i1040" DrawAspect="Content" ObjectID="_1547045128" r:id="rId44"/>
        </w:object>
      </w:r>
      <w:bookmarkEnd w:id="4"/>
      <w:r>
        <w:t>. Table 5.3.2-1 specifies the modulation mappings applicable for the</w:t>
      </w:r>
      <w:r>
        <w:t xml:space="preserve"> physical uplink shared channel. </w:t>
      </w:r>
    </w:p>
    <w:bookmarkEnd w:id="2"/>
    <w:bookmarkEnd w:id="3"/>
    <w:p w:rsidR="002B296D" w:rsidRDefault="00856F14">
      <w:pPr>
        <w:pStyle w:val="TH"/>
      </w:pPr>
      <w:r>
        <w:lastRenderedPageBreak/>
        <w:t>Table 5.3.2-1: Uplink modulation schemes</w:t>
      </w:r>
    </w:p>
    <w:tbl>
      <w:tblPr>
        <w:tblStyle w:val="TableGrid"/>
        <w:tblW w:w="3814" w:type="dxa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2137"/>
      </w:tblGrid>
      <w:tr w:rsidR="002B296D">
        <w:trPr>
          <w:jc w:val="center"/>
        </w:trPr>
        <w:tc>
          <w:tcPr>
            <w:tcW w:w="1677" w:type="dxa"/>
          </w:tcPr>
          <w:p w:rsidR="002B296D" w:rsidRDefault="00856F14">
            <w:pPr>
              <w:pStyle w:val="TAH"/>
            </w:pPr>
            <w:r>
              <w:t>Physical channel</w:t>
            </w:r>
          </w:p>
        </w:tc>
        <w:tc>
          <w:tcPr>
            <w:tcW w:w="2137" w:type="dxa"/>
          </w:tcPr>
          <w:p w:rsidR="002B296D" w:rsidRDefault="00856F14">
            <w:pPr>
              <w:pStyle w:val="TAH"/>
            </w:pPr>
            <w:r>
              <w:t>Modulation schemes</w:t>
            </w:r>
          </w:p>
        </w:tc>
      </w:tr>
      <w:tr w:rsidR="002B296D">
        <w:trPr>
          <w:jc w:val="center"/>
        </w:trPr>
        <w:tc>
          <w:tcPr>
            <w:tcW w:w="1677" w:type="dxa"/>
            <w:vAlign w:val="center"/>
          </w:tcPr>
          <w:p w:rsidR="002B296D" w:rsidRDefault="00856F14">
            <w:pPr>
              <w:pStyle w:val="TAL"/>
            </w:pPr>
            <w:r>
              <w:t>PUSCH</w:t>
            </w:r>
          </w:p>
        </w:tc>
        <w:tc>
          <w:tcPr>
            <w:tcW w:w="2137" w:type="dxa"/>
            <w:vAlign w:val="center"/>
          </w:tcPr>
          <w:p w:rsidR="002B296D" w:rsidRDefault="00856F14">
            <w:pPr>
              <w:pStyle w:val="TAL"/>
            </w:pPr>
            <w:r>
              <w:t>QPSK, 16QAM, 64QAM</w:t>
            </w:r>
          </w:p>
        </w:tc>
      </w:tr>
    </w:tbl>
    <w:p w:rsidR="002B296D" w:rsidRDefault="002B296D"/>
    <w:p w:rsidR="002B296D" w:rsidRDefault="002B296D"/>
    <w:p w:rsidR="002B296D" w:rsidRDefault="002B296D"/>
    <w:p w:rsidR="002B296D" w:rsidRDefault="00856F14">
      <w:pPr>
        <w:pStyle w:val="Heading2"/>
        <w:rPr>
          <w:b/>
          <w:bCs/>
        </w:rPr>
      </w:pPr>
      <w:r>
        <w:rPr>
          <w:b/>
          <w:bCs/>
        </w:rPr>
        <w:t>Transform precoding</w:t>
      </w:r>
    </w:p>
    <w:p w:rsidR="002B296D" w:rsidRDefault="00856F14">
      <w:r>
        <w:t xml:space="preserve">The block of complex-valued symbols </w:t>
      </w:r>
      <w:r>
        <w:rPr>
          <w:position w:val="-14"/>
        </w:rPr>
        <w:object w:dxaOrig="1719" w:dyaOrig="340">
          <v:shape id="_x0000_i1041" type="#_x0000_t75" style="width:86.25pt;height:17.25pt" o:ole="">
            <v:imagedata r:id="rId43" o:title=""/>
          </v:shape>
          <o:OLEObject Type="Embed" ProgID="Equation.3" ShapeID="_x0000_i1041" DrawAspect="Content" ObjectID="_1547045129" r:id="rId45"/>
        </w:object>
      </w:r>
      <w:r>
        <w:t xml:space="preserve"> </w:t>
      </w:r>
      <w:proofErr w:type="gramStart"/>
      <w:r>
        <w:t>is divided</w:t>
      </w:r>
      <w:proofErr w:type="gramEnd"/>
      <w:r>
        <w:t xml:space="preserve"> into </w:t>
      </w:r>
      <w:r>
        <w:rPr>
          <w:position w:val="-14"/>
        </w:rPr>
        <w:object w:dxaOrig="1400" w:dyaOrig="380">
          <v:shape id="_x0000_i1042" type="#_x0000_t75" style="width:69.75pt;height:18.75pt" o:ole="">
            <v:imagedata r:id="rId46" o:title=""/>
          </v:shape>
          <o:OLEObject Type="Embed" ProgID="Equation.3" ShapeID="_x0000_i1042" DrawAspect="Content" ObjectID="_1547045130" r:id="rId47"/>
        </w:object>
      </w:r>
      <w:r>
        <w:t xml:space="preserve"> sets, each corresponding to one SC-FDMA symbol. Transform precoding </w:t>
      </w:r>
      <w:proofErr w:type="gramStart"/>
      <w:r>
        <w:t>shall be applied</w:t>
      </w:r>
      <w:proofErr w:type="gramEnd"/>
      <w:r>
        <w:t xml:space="preserve"> according to</w:t>
      </w:r>
    </w:p>
    <w:p w:rsidR="002B296D" w:rsidRDefault="00856F14">
      <w:pPr>
        <w:pStyle w:val="EQ"/>
        <w:jc w:val="center"/>
      </w:pPr>
      <w:r>
        <w:rPr>
          <w:position w:val="-48"/>
        </w:rPr>
        <w:object w:dxaOrig="5400" w:dyaOrig="1540">
          <v:shape id="_x0000_i1043" type="#_x0000_t75" style="width:270pt;height:77.25pt" o:ole="">
            <v:imagedata r:id="rId48" o:title=""/>
          </v:shape>
          <o:OLEObject Type="Embed" ProgID="Equation.3" ShapeID="_x0000_i1043" DrawAspect="Content" ObjectID="_1547045131" r:id="rId49"/>
        </w:object>
      </w:r>
    </w:p>
    <w:p w:rsidR="002B296D" w:rsidRDefault="00856F14">
      <w:proofErr w:type="gramStart"/>
      <w:r>
        <w:t>resulting</w:t>
      </w:r>
      <w:proofErr w:type="gramEnd"/>
      <w:r>
        <w:t xml:space="preserve"> in a block of complex-valued symbols </w:t>
      </w:r>
      <w:r>
        <w:rPr>
          <w:position w:val="-14"/>
        </w:rPr>
        <w:object w:dxaOrig="1680" w:dyaOrig="340">
          <v:shape id="_x0000_i1044" type="#_x0000_t75" style="width:84pt;height:17.25pt" o:ole="">
            <v:imagedata r:id="rId50" o:title=""/>
          </v:shape>
          <o:OLEObject Type="Embed" ProgID="Equation.3" ShapeID="_x0000_i1044" DrawAspect="Content" ObjectID="_1547045132" r:id="rId51"/>
        </w:object>
      </w:r>
      <w:r>
        <w:t>. The variable</w:t>
      </w:r>
      <w:r>
        <w:rPr>
          <w:position w:val="-10"/>
        </w:rPr>
        <w:object w:dxaOrig="2140" w:dyaOrig="340">
          <v:shape id="_x0000_i1045" type="#_x0000_t75" style="width:107.25pt;height:17.25pt" o:ole="">
            <v:imagedata r:id="rId52" o:title=""/>
          </v:shape>
          <o:OLEObject Type="Embed" ProgID="Equation.3" ShapeID="_x0000_i1045" DrawAspect="Content" ObjectID="_1547045133" r:id="rId53"/>
        </w:object>
      </w:r>
      <w:r>
        <w:t xml:space="preserve">, where </w:t>
      </w:r>
      <w:r>
        <w:rPr>
          <w:position w:val="-10"/>
        </w:rPr>
        <w:object w:dxaOrig="760" w:dyaOrig="340">
          <v:shape id="_x0000_i1046" type="#_x0000_t75" style="width:38.25pt;height:17.25pt" o:ole="">
            <v:imagedata r:id="rId54" o:title=""/>
          </v:shape>
          <o:OLEObject Type="Embed" ProgID="Equation.3" ShapeID="_x0000_i1046" DrawAspect="Content" ObjectID="_1547045134" r:id="rId55"/>
        </w:object>
      </w:r>
      <w:r>
        <w:t xml:space="preserve"> represents the bandwidth of the PUSCH in terms of resource blocks, and shall fulfil</w:t>
      </w:r>
    </w:p>
    <w:p w:rsidR="002B296D" w:rsidRDefault="00856F14">
      <w:pPr>
        <w:pStyle w:val="EQ"/>
        <w:jc w:val="center"/>
      </w:pPr>
      <w:r>
        <w:rPr>
          <w:position w:val="-10"/>
        </w:rPr>
        <w:object w:dxaOrig="2600" w:dyaOrig="360">
          <v:shape id="_x0000_i1047" type="#_x0000_t75" style="width:129.75pt;height:18pt" o:ole="">
            <v:imagedata r:id="rId56" o:title=""/>
          </v:shape>
          <o:OLEObject Type="Embed" ProgID="Equation.3" ShapeID="_x0000_i1047" DrawAspect="Content" ObjectID="_1547045135" r:id="rId57"/>
        </w:object>
      </w:r>
    </w:p>
    <w:p w:rsidR="002B296D" w:rsidRDefault="00856F14">
      <w:proofErr w:type="gramStart"/>
      <w:r>
        <w:t>where</w:t>
      </w:r>
      <w:proofErr w:type="gramEnd"/>
      <w:r>
        <w:t xml:space="preserve"> </w:t>
      </w:r>
      <w:r>
        <w:rPr>
          <w:position w:val="-10"/>
        </w:rPr>
        <w:object w:dxaOrig="859" w:dyaOrig="300">
          <v:shape id="_x0000_i1048" type="#_x0000_t75" style="width:42.75pt;height:15pt" o:ole="">
            <v:imagedata r:id="rId58" o:title=""/>
          </v:shape>
          <o:OLEObject Type="Embed" ProgID="Equation.3" ShapeID="_x0000_i1048" DrawAspect="Content" ObjectID="_1547045136" r:id="rId59"/>
        </w:object>
      </w:r>
      <w:r>
        <w:t xml:space="preserve"> is a set of non-negative integers.</w:t>
      </w:r>
    </w:p>
    <w:p w:rsidR="002B296D" w:rsidRDefault="002B296D"/>
    <w:p w:rsidR="00856F14" w:rsidRDefault="00856F14"/>
    <w:p w:rsidR="00856F14" w:rsidRPr="00C12953" w:rsidRDefault="00856F14" w:rsidP="00856F14">
      <w:pPr>
        <w:pStyle w:val="Heading2"/>
      </w:pPr>
      <w:r w:rsidRPr="00C12953">
        <w:t xml:space="preserve">SC-FDMA </w:t>
      </w:r>
      <w:r>
        <w:t xml:space="preserve">baseband </w:t>
      </w:r>
      <w:r w:rsidRPr="00C12953">
        <w:t xml:space="preserve">signal generation </w:t>
      </w:r>
    </w:p>
    <w:p w:rsidR="00856F14" w:rsidRPr="00C12953" w:rsidRDefault="00856F14" w:rsidP="00856F14">
      <w:r w:rsidRPr="00C12953">
        <w:t xml:space="preserve">This section </w:t>
      </w:r>
      <w:r>
        <w:t>applies to all uplink physical signals and physical channels except the physical random access channel</w:t>
      </w:r>
      <w:r w:rsidRPr="00C12953">
        <w:t>.</w:t>
      </w:r>
    </w:p>
    <w:p w:rsidR="00856F14" w:rsidRPr="00C12953" w:rsidRDefault="00856F14" w:rsidP="00856F14">
      <w:r w:rsidRPr="00C12953">
        <w:t xml:space="preserve">The time-continuous signal </w:t>
      </w:r>
      <w:r w:rsidRPr="00C12953">
        <w:rPr>
          <w:position w:val="-10"/>
        </w:rPr>
        <w:object w:dxaOrig="420" w:dyaOrig="300">
          <v:shape id="_x0000_i1049" type="#_x0000_t75" style="width:21pt;height:15pt" o:ole="">
            <v:imagedata r:id="rId60" o:title=""/>
          </v:shape>
          <o:OLEObject Type="Embed" ProgID="Equation.3" ShapeID="_x0000_i1049" DrawAspect="Content" ObjectID="_1547045137" r:id="rId61"/>
        </w:object>
      </w:r>
      <w:r w:rsidRPr="00C12953">
        <w:t xml:space="preserve"> in SC-FDMA symbol </w:t>
      </w:r>
      <w:r w:rsidRPr="00C12953">
        <w:rPr>
          <w:position w:val="-6"/>
        </w:rPr>
        <w:object w:dxaOrig="139" w:dyaOrig="260">
          <v:shape id="_x0000_i1050" type="#_x0000_t75" style="width:6.75pt;height:12.75pt" o:ole="">
            <v:imagedata r:id="rId62" o:title=""/>
          </v:shape>
          <o:OLEObject Type="Embed" ProgID="Equation.3" ShapeID="_x0000_i1050" DrawAspect="Content" ObjectID="_1547045138" r:id="rId63"/>
        </w:object>
      </w:r>
      <w:r w:rsidRPr="00C12953">
        <w:t xml:space="preserve"> in an uplink slot </w:t>
      </w:r>
      <w:proofErr w:type="gramStart"/>
      <w:r w:rsidRPr="00C12953">
        <w:t>is defined</w:t>
      </w:r>
      <w:proofErr w:type="gramEnd"/>
      <w:r w:rsidRPr="00C12953">
        <w:t xml:space="preserve"> by </w:t>
      </w:r>
    </w:p>
    <w:p w:rsidR="00856F14" w:rsidRPr="00C12953" w:rsidRDefault="00856F14" w:rsidP="00856F14">
      <w:pPr>
        <w:pStyle w:val="EQ"/>
        <w:jc w:val="center"/>
      </w:pPr>
      <w:r w:rsidRPr="00C12953">
        <w:rPr>
          <w:position w:val="-34"/>
        </w:rPr>
        <w:object w:dxaOrig="3820" w:dyaOrig="820">
          <v:shape id="_x0000_i1051" type="#_x0000_t75" style="width:191.25pt;height:41.25pt" o:ole="">
            <v:imagedata r:id="rId64" o:title=""/>
          </v:shape>
          <o:OLEObject Type="Embed" ProgID="Equation.3" ShapeID="_x0000_i1051" DrawAspect="Content" ObjectID="_1547045139" r:id="rId65"/>
        </w:object>
      </w:r>
    </w:p>
    <w:p w:rsidR="00856F14" w:rsidRDefault="00856F14" w:rsidP="00856F14">
      <w:proofErr w:type="gramStart"/>
      <w:r w:rsidRPr="00C12953">
        <w:t>for</w:t>
      </w:r>
      <w:proofErr w:type="gramEnd"/>
      <w:r w:rsidRPr="00C12953">
        <w:rPr>
          <w:position w:val="-12"/>
          <w:sz w:val="10"/>
          <w:szCs w:val="10"/>
        </w:rPr>
        <w:object w:dxaOrig="1840" w:dyaOrig="320">
          <v:shape id="_x0000_i1052" type="#_x0000_t75" style="width:92.25pt;height:15.75pt" o:ole="">
            <v:imagedata r:id="rId66" o:title=""/>
          </v:shape>
          <o:OLEObject Type="Embed" ProgID="Equation.3" ShapeID="_x0000_i1052" DrawAspect="Content" ObjectID="_1547045140" r:id="rId67"/>
        </w:object>
      </w:r>
      <w:r w:rsidRPr="00C12953">
        <w:t xml:space="preserve"> </w:t>
      </w:r>
      <w:r>
        <w:t xml:space="preserve">where </w:t>
      </w:r>
      <w:r w:rsidRPr="00620CA2">
        <w:rPr>
          <w:position w:val="-10"/>
        </w:rPr>
        <w:object w:dxaOrig="1939" w:dyaOrig="340">
          <v:shape id="_x0000_i1053" type="#_x0000_t75" style="width:96.75pt;height:17.25pt" o:ole="">
            <v:imagedata r:id="rId68" o:title=""/>
          </v:shape>
          <o:OLEObject Type="Embed" ProgID="Equation.3" ShapeID="_x0000_i1053" DrawAspect="Content" ObjectID="_1547045141" r:id="rId69"/>
        </w:object>
      </w:r>
      <w:r>
        <w:t xml:space="preserve">, </w:t>
      </w:r>
      <w:r w:rsidRPr="00C7537A">
        <w:rPr>
          <w:position w:val="-6"/>
        </w:rPr>
        <w:object w:dxaOrig="840" w:dyaOrig="240">
          <v:shape id="_x0000_i1054" type="#_x0000_t75" style="width:42pt;height:12pt" o:ole="">
            <v:imagedata r:id="rId70" o:title=""/>
          </v:shape>
          <o:OLEObject Type="Embed" ProgID="Equation.3" ShapeID="_x0000_i1054" DrawAspect="Content" ObjectID="_1547045142" r:id="rId71"/>
        </w:object>
      </w:r>
      <w:r>
        <w:t xml:space="preserve">, </w:t>
      </w:r>
      <w:r w:rsidRPr="004972BC">
        <w:rPr>
          <w:position w:val="-10"/>
        </w:rPr>
        <w:object w:dxaOrig="1060" w:dyaOrig="300">
          <v:shape id="_x0000_i1055" type="#_x0000_t75" style="width:53.25pt;height:15pt" o:ole="">
            <v:imagedata r:id="rId72" o:title=""/>
          </v:shape>
          <o:OLEObject Type="Embed" ProgID="Equation.3" ShapeID="_x0000_i1055" DrawAspect="Content" ObjectID="_1547045143" r:id="rId73"/>
        </w:object>
      </w:r>
      <w:r w:rsidRPr="00AC0046">
        <w:t xml:space="preserve"> </w:t>
      </w:r>
      <w:r>
        <w:t xml:space="preserve">and </w:t>
      </w:r>
      <w:r w:rsidRPr="00567121">
        <w:rPr>
          <w:position w:val="-12"/>
        </w:rPr>
        <w:object w:dxaOrig="340" w:dyaOrig="320">
          <v:shape id="_x0000_i1056" type="#_x0000_t75" style="width:17.25pt;height:15.75pt" o:ole="">
            <v:imagedata r:id="rId74" o:title=""/>
          </v:shape>
          <o:OLEObject Type="Embed" ProgID="Equation.3" ShapeID="_x0000_i1056" DrawAspect="Content" ObjectID="_1547045144" r:id="rId75"/>
        </w:object>
      </w:r>
      <w:r>
        <w:t xml:space="preserve"> is the content of resource element </w:t>
      </w:r>
      <w:r w:rsidRPr="00A55985">
        <w:rPr>
          <w:position w:val="-10"/>
        </w:rPr>
        <w:object w:dxaOrig="440" w:dyaOrig="300">
          <v:shape id="_x0000_i1057" type="#_x0000_t75" style="width:21.75pt;height:15pt" o:ole="">
            <v:imagedata r:id="rId76" o:title=""/>
          </v:shape>
          <o:OLEObject Type="Embed" ProgID="Equation.3" ShapeID="_x0000_i1057" DrawAspect="Content" ObjectID="_1547045145" r:id="rId77"/>
        </w:object>
      </w:r>
      <w:r w:rsidRPr="00C12953">
        <w:t>.</w:t>
      </w:r>
    </w:p>
    <w:p w:rsidR="00856F14" w:rsidRDefault="00856F14" w:rsidP="00856F14">
      <w:r>
        <w:lastRenderedPageBreak/>
        <w:t xml:space="preserve">The SC-FDMA symbols in a slot shall be transmitted in increasing </w:t>
      </w:r>
      <w:r w:rsidRPr="00C12953">
        <w:t xml:space="preserve">order </w:t>
      </w:r>
      <w:proofErr w:type="gramStart"/>
      <w:r w:rsidRPr="00C12953">
        <w:t xml:space="preserve">of </w:t>
      </w:r>
      <w:proofErr w:type="gramEnd"/>
      <w:r w:rsidRPr="00C12953">
        <w:rPr>
          <w:position w:val="-6"/>
        </w:rPr>
        <w:object w:dxaOrig="139" w:dyaOrig="260">
          <v:shape id="_x0000_i1058" type="#_x0000_t75" style="width:6.75pt;height:12.75pt" o:ole="">
            <v:imagedata r:id="rId62" o:title=""/>
          </v:shape>
          <o:OLEObject Type="Embed" ProgID="Equation.3" ShapeID="_x0000_i1058" DrawAspect="Content" ObjectID="_1547045146" r:id="rId78"/>
        </w:object>
      </w:r>
      <w:r>
        <w:t xml:space="preserve">, starting with </w:t>
      </w:r>
      <w:r w:rsidRPr="00C12953">
        <w:rPr>
          <w:position w:val="-6"/>
        </w:rPr>
        <w:object w:dxaOrig="440" w:dyaOrig="260">
          <v:shape id="_x0000_i1059" type="#_x0000_t75" style="width:21.75pt;height:12.75pt" o:ole="">
            <v:imagedata r:id="rId79" o:title=""/>
          </v:shape>
          <o:OLEObject Type="Embed" ProgID="Equation.3" ShapeID="_x0000_i1059" DrawAspect="Content" ObjectID="_1547045147" r:id="rId80"/>
        </w:object>
      </w:r>
      <w:r>
        <w:t xml:space="preserve">, where SC-FDMA symbol </w:t>
      </w:r>
      <w:r w:rsidRPr="00C12953">
        <w:rPr>
          <w:position w:val="-6"/>
        </w:rPr>
        <w:object w:dxaOrig="440" w:dyaOrig="260">
          <v:shape id="_x0000_i1060" type="#_x0000_t75" style="width:21.75pt;height:12.75pt" o:ole="">
            <v:imagedata r:id="rId81" o:title=""/>
          </v:shape>
          <o:OLEObject Type="Embed" ProgID="Equation.3" ShapeID="_x0000_i1060" DrawAspect="Content" ObjectID="_1547045148" r:id="rId82"/>
        </w:object>
      </w:r>
      <w:r>
        <w:t xml:space="preserve">starts at time  </w:t>
      </w:r>
      <w:r w:rsidRPr="005170DB">
        <w:rPr>
          <w:position w:val="-16"/>
          <w:sz w:val="10"/>
          <w:szCs w:val="10"/>
        </w:rPr>
        <w:object w:dxaOrig="1740" w:dyaOrig="460">
          <v:shape id="_x0000_i1061" type="#_x0000_t75" style="width:87pt;height:23.25pt" o:ole="">
            <v:imagedata r:id="rId83" o:title=""/>
          </v:shape>
          <o:OLEObject Type="Embed" ProgID="Equation.3" ShapeID="_x0000_i1061" DrawAspect="Content" ObjectID="_1547045149" r:id="rId84"/>
        </w:object>
      </w:r>
      <w:r>
        <w:t xml:space="preserve"> within the slot. </w:t>
      </w:r>
    </w:p>
    <w:p w:rsidR="00856F14" w:rsidRPr="00C12953" w:rsidRDefault="00856F14" w:rsidP="00856F14">
      <w:r w:rsidRPr="00C12953">
        <w:t xml:space="preserve">Table </w:t>
      </w:r>
      <w:r>
        <w:t>5.6-1</w:t>
      </w:r>
      <w:r w:rsidRPr="00C12953">
        <w:t>list</w:t>
      </w:r>
      <w:r>
        <w:t>s</w:t>
      </w:r>
      <w:r w:rsidRPr="00C12953">
        <w:t xml:space="preserve"> the values of </w:t>
      </w:r>
      <w:r w:rsidRPr="00C12953">
        <w:rPr>
          <w:position w:val="-12"/>
        </w:rPr>
        <w:object w:dxaOrig="499" w:dyaOrig="320">
          <v:shape id="_x0000_i1062" type="#_x0000_t75" style="width:24.75pt;height:15.75pt" o:ole="">
            <v:imagedata r:id="rId85" o:title=""/>
          </v:shape>
          <o:OLEObject Type="Embed" ProgID="Equation.3" ShapeID="_x0000_i1062" DrawAspect="Content" ObjectID="_1547045150" r:id="rId86"/>
        </w:object>
      </w:r>
      <w:r w:rsidRPr="00C12953">
        <w:t xml:space="preserve">that shall be used. Note that different </w:t>
      </w:r>
      <w:r>
        <w:t>SC-FDMA symbols</w:t>
      </w:r>
      <w:r w:rsidRPr="00C12953">
        <w:t xml:space="preserve"> within a slot may have different cyclic prefix lengths.</w:t>
      </w:r>
    </w:p>
    <w:p w:rsidR="00856F14" w:rsidRPr="00C12953" w:rsidRDefault="00856F14" w:rsidP="00856F14"/>
    <w:p w:rsidR="00856F14" w:rsidRDefault="00856F14" w:rsidP="00856F14">
      <w:pPr>
        <w:pStyle w:val="TH"/>
      </w:pPr>
      <w:r>
        <w:t>Table 5.6-1: SC-FDMA parameters.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285"/>
        <w:gridCol w:w="3286"/>
        <w:tblGridChange w:id="5">
          <w:tblGrid>
            <w:gridCol w:w="3285"/>
            <w:gridCol w:w="3286"/>
          </w:tblGrid>
        </w:tblGridChange>
      </w:tblGrid>
      <w:tr w:rsidR="00856F14" w:rsidTr="008438F0">
        <w:trPr>
          <w:jc w:val="center"/>
        </w:trPr>
        <w:tc>
          <w:tcPr>
            <w:tcW w:w="3285" w:type="dxa"/>
          </w:tcPr>
          <w:p w:rsidR="00856F14" w:rsidRDefault="00856F14" w:rsidP="008438F0">
            <w:pPr>
              <w:pStyle w:val="TAH"/>
            </w:pPr>
            <w:r>
              <w:t>Configuration</w:t>
            </w:r>
          </w:p>
        </w:tc>
        <w:tc>
          <w:tcPr>
            <w:tcW w:w="3286" w:type="dxa"/>
          </w:tcPr>
          <w:p w:rsidR="00856F14" w:rsidRDefault="00856F14" w:rsidP="008438F0">
            <w:pPr>
              <w:pStyle w:val="TAH"/>
            </w:pPr>
            <w:r>
              <w:t xml:space="preserve">Cyclic prefix length </w:t>
            </w:r>
            <w:r w:rsidRPr="00C12953">
              <w:rPr>
                <w:position w:val="-12"/>
              </w:rPr>
              <w:object w:dxaOrig="499" w:dyaOrig="320">
                <v:shape id="_x0000_i1063" type="#_x0000_t75" style="width:24.75pt;height:15.75pt" o:ole="">
                  <v:imagedata r:id="rId85" o:title=""/>
                </v:shape>
                <o:OLEObject Type="Embed" ProgID="Equation.3" ShapeID="_x0000_i1063" DrawAspect="Content" ObjectID="_1547045151" r:id="rId87"/>
              </w:object>
            </w:r>
          </w:p>
        </w:tc>
      </w:tr>
      <w:tr w:rsidR="00856F14" w:rsidTr="008438F0">
        <w:trPr>
          <w:jc w:val="center"/>
        </w:trPr>
        <w:tc>
          <w:tcPr>
            <w:tcW w:w="3285" w:type="dxa"/>
            <w:vAlign w:val="center"/>
          </w:tcPr>
          <w:p w:rsidR="00856F14" w:rsidRDefault="00856F14" w:rsidP="008438F0">
            <w:pPr>
              <w:pStyle w:val="TAL"/>
            </w:pPr>
            <w:r w:rsidRPr="00C12953">
              <w:t>Normal cyclic prefix</w:t>
            </w:r>
          </w:p>
        </w:tc>
        <w:tc>
          <w:tcPr>
            <w:tcW w:w="3286" w:type="dxa"/>
            <w:vAlign w:val="center"/>
          </w:tcPr>
          <w:p w:rsidR="00856F14" w:rsidRDefault="00856F14" w:rsidP="008438F0">
            <w:pPr>
              <w:pStyle w:val="TAL"/>
            </w:pPr>
            <w:r w:rsidRPr="00C12953">
              <w:rPr>
                <w:position w:val="-6"/>
              </w:rPr>
              <w:object w:dxaOrig="1140" w:dyaOrig="260">
                <v:shape id="_x0000_i1064" type="#_x0000_t75" style="width:57pt;height:12.75pt" o:ole="">
                  <v:imagedata r:id="rId88" o:title=""/>
                </v:shape>
                <o:OLEObject Type="Embed" ProgID="Equation.3" ShapeID="_x0000_i1064" DrawAspect="Content" ObjectID="_1547045152" r:id="rId89"/>
              </w:object>
            </w:r>
          </w:p>
          <w:p w:rsidR="00856F14" w:rsidRDefault="00856F14" w:rsidP="008438F0">
            <w:pPr>
              <w:pStyle w:val="TAL"/>
            </w:pPr>
            <w:r w:rsidRPr="00C12953">
              <w:rPr>
                <w:position w:val="-8"/>
              </w:rPr>
              <w:object w:dxaOrig="1600" w:dyaOrig="279">
                <v:shape id="_x0000_i1065" type="#_x0000_t75" style="width:80.25pt;height:14.25pt" o:ole="">
                  <v:imagedata r:id="rId90" o:title=""/>
                </v:shape>
                <o:OLEObject Type="Embed" ProgID="Equation.3" ShapeID="_x0000_i1065" DrawAspect="Content" ObjectID="_1547045153" r:id="rId91"/>
              </w:object>
            </w:r>
          </w:p>
        </w:tc>
      </w:tr>
      <w:tr w:rsidR="00856F14" w:rsidRPr="00C12953" w:rsidTr="008438F0">
        <w:trPr>
          <w:jc w:val="center"/>
        </w:trPr>
        <w:tc>
          <w:tcPr>
            <w:tcW w:w="3285" w:type="dxa"/>
            <w:vAlign w:val="center"/>
          </w:tcPr>
          <w:p w:rsidR="00856F14" w:rsidRPr="00C12953" w:rsidRDefault="00856F14" w:rsidP="008438F0">
            <w:pPr>
              <w:pStyle w:val="TAL"/>
            </w:pPr>
            <w:r w:rsidRPr="00C12953">
              <w:t>Extended cyclic prefix</w:t>
            </w:r>
          </w:p>
        </w:tc>
        <w:tc>
          <w:tcPr>
            <w:tcW w:w="3286" w:type="dxa"/>
            <w:vAlign w:val="center"/>
          </w:tcPr>
          <w:p w:rsidR="00856F14" w:rsidRPr="00C12953" w:rsidRDefault="00856F14" w:rsidP="008438F0">
            <w:pPr>
              <w:pStyle w:val="TAL"/>
            </w:pPr>
            <w:r w:rsidRPr="00C12953">
              <w:rPr>
                <w:position w:val="-8"/>
              </w:rPr>
              <w:object w:dxaOrig="1600" w:dyaOrig="279">
                <v:shape id="_x0000_i1066" type="#_x0000_t75" style="width:80.25pt;height:14.25pt" o:ole="">
                  <v:imagedata r:id="rId92" o:title=""/>
                </v:shape>
                <o:OLEObject Type="Embed" ProgID="Equation.3" ShapeID="_x0000_i1066" DrawAspect="Content" ObjectID="_1547045154" r:id="rId93"/>
              </w:object>
            </w:r>
          </w:p>
        </w:tc>
      </w:tr>
    </w:tbl>
    <w:p w:rsidR="00856F14" w:rsidRDefault="00856F14">
      <w:bookmarkStart w:id="6" w:name="_GoBack"/>
      <w:bookmarkEnd w:id="6"/>
    </w:p>
    <w:sectPr w:rsidR="00856F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Malgun Gothic Semilight"/>
    <w:panose1 w:val="02010600030101010101"/>
    <w:charset w:val="00"/>
    <w:family w:val="auto"/>
    <w:pitch w:val="default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DDD28"/>
    <w:rsid w:val="3FDF794B"/>
    <w:rsid w:val="4FFDEE90"/>
    <w:rsid w:val="5A7DDD28"/>
    <w:rsid w:val="5FB3DAA1"/>
    <w:rsid w:val="6137722F"/>
    <w:rsid w:val="6FFECBD1"/>
    <w:rsid w:val="78A9DC65"/>
    <w:rsid w:val="7EFD3F60"/>
    <w:rsid w:val="7FF82D40"/>
    <w:rsid w:val="7FFF06F5"/>
    <w:rsid w:val="96BF4A95"/>
    <w:rsid w:val="B7D71588"/>
    <w:rsid w:val="B87DDDF5"/>
    <w:rsid w:val="BFF340A7"/>
    <w:rsid w:val="C9FC939C"/>
    <w:rsid w:val="CEBFED91"/>
    <w:rsid w:val="DFAB5E55"/>
    <w:rsid w:val="DFB74FF3"/>
    <w:rsid w:val="DFF39D51"/>
    <w:rsid w:val="DFFEBE65"/>
    <w:rsid w:val="EFFF905E"/>
    <w:rsid w:val="F67D85F7"/>
    <w:rsid w:val="FEAFCEC4"/>
    <w:rsid w:val="FF3D8ECB"/>
    <w:rsid w:val="FF4F1D4F"/>
    <w:rsid w:val="FFB88437"/>
    <w:rsid w:val="FFFFED08"/>
    <w:rsid w:val="002B296D"/>
    <w:rsid w:val="008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BBDEE"/>
  <w15:docId w15:val="{548462B7-2CBB-4C54-B49C-4D3EF401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Heading1"/>
    <w:next w:val="Normal"/>
    <w:unhideWhenUsed/>
    <w:qFormat/>
    <w:pPr>
      <w:spacing w:before="260" w:after="260" w:line="416" w:lineRule="auto"/>
      <w:outlineLvl w:val="1"/>
    </w:pPr>
    <w:rPr>
      <w:rFonts w:ascii="Arial" w:eastAsia="SimHei" w:hAnsi="Arial"/>
      <w:b w:val="0"/>
      <w:bCs w:val="0"/>
      <w:sz w:val="32"/>
      <w:szCs w:val="32"/>
    </w:rPr>
  </w:style>
  <w:style w:type="paragraph" w:styleId="Heading3">
    <w:name w:val="heading 3"/>
    <w:basedOn w:val="Heading2"/>
    <w:next w:val="Normal"/>
    <w:unhideWhenUsed/>
    <w:qFormat/>
    <w:pPr>
      <w:spacing w:before="1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lang w:val="zh-CN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TAL">
    <w:name w:val="TAL"/>
    <w:basedOn w:val="Normal"/>
    <w:pPr>
      <w:keepNext/>
      <w:keepLines/>
      <w:spacing w:after="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www.sharetechnote.com/image/LTE_PCI.png" TargetMode="External"/><Relationship Id="rId21" Type="http://schemas.openxmlformats.org/officeDocument/2006/relationships/image" Target="http://www.sharetechnote.com/image/36_321_Table_7_1_1.png" TargetMode="External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theme" Target="theme/theme1.xml"/><Relationship Id="rId22" Type="http://schemas.openxmlformats.org/officeDocument/2006/relationships/hyperlink" Target="http://www.sharetechnote.com/html/RACH_LTE.html" TargetMode="External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hyperlink" Target="http://www.sharetechnote.com/html/RACH_LTE.html" TargetMode="External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9" Type="http://schemas.openxmlformats.org/officeDocument/2006/relationships/image" Target="media/image16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hyperlink" Target="http://www.sharetechnote.com/html/Handbook_LTE_Synchronization_Signal.html" TargetMode="External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" Type="http://schemas.openxmlformats.org/officeDocument/2006/relationships/image" Target="http://www.sharetechnote.com/image/36_321_Table_7_1_2.png" TargetMode="Externa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 mostafa</cp:lastModifiedBy>
  <cp:revision>1</cp:revision>
  <dcterms:created xsi:type="dcterms:W3CDTF">2016-10-22T14:30:00Z</dcterms:created>
  <dcterms:modified xsi:type="dcterms:W3CDTF">2017-01-27T15:58:00Z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