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F616" w14:textId="00885F1F" w:rsidR="00B041E5" w:rsidRDefault="0025374D" w:rsidP="00B041E5">
      <w:pPr>
        <w:pStyle w:val="Heading1"/>
        <w:spacing w:line="360" w:lineRule="auto"/>
      </w:pPr>
      <w:r>
        <w:t>AIE425 Intelligent Recommender Systems, Fall Semester 24/25</w:t>
      </w:r>
    </w:p>
    <w:p w14:paraId="7C7CA1AF" w14:textId="77777777" w:rsidR="00B041E5" w:rsidRDefault="00B041E5" w:rsidP="00B041E5">
      <w:pPr>
        <w:spacing w:line="360" w:lineRule="auto"/>
      </w:pPr>
    </w:p>
    <w:p w14:paraId="2BCFA3F9" w14:textId="77777777" w:rsidR="00B041E5" w:rsidRPr="00B041E5" w:rsidRDefault="00B041E5" w:rsidP="00B041E5">
      <w:pPr>
        <w:spacing w:line="360" w:lineRule="auto"/>
      </w:pPr>
    </w:p>
    <w:p w14:paraId="5F1B867D" w14:textId="77777777" w:rsidR="0056236D" w:rsidRDefault="0025374D" w:rsidP="00B041E5">
      <w:pPr>
        <w:pStyle w:val="Heading2"/>
        <w:spacing w:line="360" w:lineRule="auto"/>
      </w:pPr>
      <w:r>
        <w:t>Assignment #2: Significance Weighting-based Neighborhood CF Filters</w:t>
      </w:r>
    </w:p>
    <w:p w14:paraId="399B786F" w14:textId="77777777" w:rsidR="00B041E5" w:rsidRDefault="00B041E5" w:rsidP="00B041E5">
      <w:pPr>
        <w:spacing w:line="360" w:lineRule="auto"/>
      </w:pPr>
    </w:p>
    <w:p w14:paraId="5E001644" w14:textId="77777777" w:rsidR="00B041E5" w:rsidRPr="00B041E5" w:rsidRDefault="00B041E5" w:rsidP="00B041E5">
      <w:pPr>
        <w:spacing w:line="360" w:lineRule="auto"/>
      </w:pPr>
    </w:p>
    <w:p w14:paraId="41C1860C" w14:textId="72026D39" w:rsidR="00B041E5" w:rsidRDefault="0025374D" w:rsidP="00B041E5">
      <w:pPr>
        <w:spacing w:line="360" w:lineRule="auto"/>
      </w:pPr>
      <w:r>
        <w:t xml:space="preserve"> ID: </w:t>
      </w:r>
      <w:proofErr w:type="gramStart"/>
      <w:r w:rsidR="00B041E5">
        <w:t>221101394</w:t>
      </w:r>
      <w:r>
        <w:t>,  Name</w:t>
      </w:r>
      <w:proofErr w:type="gramEnd"/>
      <w:r>
        <w:t xml:space="preserve">: </w:t>
      </w:r>
      <w:r w:rsidR="00B041E5">
        <w:t xml:space="preserve">Ahmed </w:t>
      </w:r>
      <w:proofErr w:type="spellStart"/>
      <w:r w:rsidR="00B041E5">
        <w:t>hany</w:t>
      </w:r>
      <w:proofErr w:type="spellEnd"/>
      <w:r w:rsidR="00B041E5">
        <w:t xml:space="preserve"> </w:t>
      </w:r>
      <w:proofErr w:type="spellStart"/>
      <w:r w:rsidR="00B041E5">
        <w:t>mohamed</w:t>
      </w:r>
      <w:proofErr w:type="spellEnd"/>
    </w:p>
    <w:p w14:paraId="3E035216" w14:textId="224EBD51" w:rsidR="0056236D" w:rsidRDefault="0056236D" w:rsidP="00B041E5">
      <w:pPr>
        <w:spacing w:line="360" w:lineRule="auto"/>
      </w:pPr>
    </w:p>
    <w:p w14:paraId="2070E651" w14:textId="77777777" w:rsidR="0056236D" w:rsidRDefault="0025374D" w:rsidP="00B041E5">
      <w:pPr>
        <w:spacing w:line="360" w:lineRule="auto"/>
      </w:pPr>
      <w:r>
        <w:br/>
      </w:r>
      <w:r>
        <w:br/>
      </w:r>
    </w:p>
    <w:p w14:paraId="2640807A" w14:textId="77777777" w:rsidR="0056236D" w:rsidRDefault="0025374D" w:rsidP="00B041E5">
      <w:pPr>
        <w:spacing w:line="360" w:lineRule="auto"/>
      </w:pPr>
      <w:r>
        <w:br w:type="page"/>
      </w:r>
    </w:p>
    <w:p w14:paraId="138D9400" w14:textId="77777777" w:rsidR="0056236D" w:rsidRDefault="0025374D" w:rsidP="00B041E5">
      <w:pPr>
        <w:pStyle w:val="Heading1"/>
        <w:spacing w:line="360" w:lineRule="auto"/>
      </w:pPr>
      <w:r>
        <w:lastRenderedPageBreak/>
        <w:t>Introduction</w:t>
      </w:r>
    </w:p>
    <w:p w14:paraId="39738902" w14:textId="77777777" w:rsidR="0056236D" w:rsidRDefault="0025374D" w:rsidP="00B041E5">
      <w:pPr>
        <w:spacing w:line="360" w:lineRule="auto"/>
      </w:pPr>
      <w:r>
        <w:t>This report focuses on the implementation and evaluation of different methods for collaborative filtering and matrix factorization in recommender systems. The assignment includes three main parts: data preprocessing, implementation of PCA (Principal Component Analysis), covariance matrix analysis, and SVD (Singular Value Decomposition). The aim is to analyze their performance in predicting missing ratings and to compare their respective strengths and weaknesses.</w:t>
      </w:r>
    </w:p>
    <w:p w14:paraId="205BF6BB" w14:textId="77777777" w:rsidR="0056236D" w:rsidRDefault="0025374D" w:rsidP="00B041E5">
      <w:pPr>
        <w:pStyle w:val="Heading1"/>
        <w:spacing w:line="360" w:lineRule="auto"/>
      </w:pPr>
      <w:r>
        <w:t>Data Preparation</w:t>
      </w:r>
    </w:p>
    <w:p w14:paraId="03153815" w14:textId="77777777" w:rsidR="0056236D" w:rsidRDefault="0025374D" w:rsidP="00B041E5">
      <w:pPr>
        <w:spacing w:line="360" w:lineRule="auto"/>
      </w:pPr>
      <w:r>
        <w:t>The dataset used in this study represents ratings of various items by different users. The preprocessing steps included cleaning the data and filling missing ratings with mean values. The ratings were extracted from a raw dataset, normalized, and structured into a user-item matrix for further analysis.</w:t>
      </w:r>
    </w:p>
    <w:p w14:paraId="6015306E" w14:textId="77777777" w:rsidR="0056236D" w:rsidRDefault="0025374D" w:rsidP="00B041E5">
      <w:pPr>
        <w:spacing w:line="360" w:lineRule="auto"/>
      </w:pPr>
      <w:r>
        <w:t>Key steps include:</w:t>
      </w:r>
      <w:r>
        <w:br/>
        <w:t>- Extracting numeric ratings using regex to ensure consistent data formatting.</w:t>
      </w:r>
      <w:r>
        <w:br/>
        <w:t>- Creating a pivot table to represent the ratings matrix, with rows as users and columns as items.</w:t>
      </w:r>
      <w:r>
        <w:br/>
        <w:t>- Filling missing ratings with the mean value of the respective item to ensure compatibility with PCA and SVD algorithms.</w:t>
      </w:r>
    </w:p>
    <w:p w14:paraId="27EFCBA6" w14:textId="77777777" w:rsidR="0056236D" w:rsidRDefault="0025374D" w:rsidP="00B041E5">
      <w:pPr>
        <w:spacing w:line="360" w:lineRule="auto"/>
      </w:pPr>
      <w:r>
        <w:t>**Visualization Suggestion:** Place a heatmap of the user-item ratings matrix here to demonstrate data preparation. This will help visualize the distribution of ratings and missing values before and after imputation.</w:t>
      </w:r>
    </w:p>
    <w:p w14:paraId="35646810" w14:textId="77777777" w:rsidR="0056236D" w:rsidRDefault="0025374D" w:rsidP="00B041E5">
      <w:pPr>
        <w:pStyle w:val="Heading1"/>
        <w:spacing w:line="360" w:lineRule="auto"/>
      </w:pPr>
      <w:r>
        <w:t>PCA Implementation</w:t>
      </w:r>
    </w:p>
    <w:p w14:paraId="67F8EF99" w14:textId="77777777" w:rsidR="0056236D" w:rsidRDefault="0025374D" w:rsidP="00B041E5">
      <w:pPr>
        <w:spacing w:line="360" w:lineRule="auto"/>
      </w:pPr>
      <w:r>
        <w:t>PCA was applied to the ratings matrix to reduce dimensionality and capture the principal patterns of user-item interactions. This process transforms the data into a smaller number of components, each representing a linear combination of the original features.</w:t>
      </w:r>
    </w:p>
    <w:p w14:paraId="540CACDA" w14:textId="77777777" w:rsidR="0056236D" w:rsidRDefault="0025374D" w:rsidP="00B041E5">
      <w:pPr>
        <w:spacing w:line="360" w:lineRule="auto"/>
      </w:pPr>
      <w:r>
        <w:t>Key results include:</w:t>
      </w:r>
      <w:r>
        <w:br/>
        <w:t xml:space="preserve">- Cumulative explained variance calculated to determine the optimal number of </w:t>
      </w:r>
      <w:r>
        <w:lastRenderedPageBreak/>
        <w:t>components.</w:t>
      </w:r>
      <w:r>
        <w:br/>
        <w:t>- Transformed ratings used to compute predicted ratings and identify similar items.</w:t>
      </w:r>
    </w:p>
    <w:p w14:paraId="05501319" w14:textId="77777777" w:rsidR="0056236D" w:rsidRDefault="0025374D" w:rsidP="00B041E5">
      <w:pPr>
        <w:spacing w:line="360" w:lineRule="auto"/>
      </w:pPr>
      <w:r>
        <w:t>**Visualization Suggestion:** Insert a line chart showing the cumulative explained variance to illustrate how much variance is captured by increasing the number of PCA components.</w:t>
      </w:r>
    </w:p>
    <w:p w14:paraId="6BF948C5" w14:textId="77777777" w:rsidR="0056236D" w:rsidRDefault="0025374D" w:rsidP="00B041E5">
      <w:pPr>
        <w:pStyle w:val="Heading1"/>
        <w:spacing w:line="360" w:lineRule="auto"/>
      </w:pPr>
      <w:r>
        <w:t>MLE Covariance Matrix</w:t>
      </w:r>
    </w:p>
    <w:p w14:paraId="5569B197" w14:textId="77777777" w:rsidR="0056236D" w:rsidRDefault="0025374D" w:rsidP="00B041E5">
      <w:pPr>
        <w:spacing w:line="360" w:lineRule="auto"/>
      </w:pPr>
      <w:r>
        <w:t>A Maximum Likelihood Estimation (MLE) covariance matrix was computed to analyze the relationships between items. This matrix quantifies the covariance between pairs of items based on their common ratings.</w:t>
      </w:r>
    </w:p>
    <w:p w14:paraId="52CEC9CB" w14:textId="77777777" w:rsidR="0056236D" w:rsidRDefault="0025374D" w:rsidP="00B041E5">
      <w:pPr>
        <w:spacing w:line="360" w:lineRule="auto"/>
      </w:pPr>
      <w:r>
        <w:t>Key results include:</w:t>
      </w:r>
      <w:r>
        <w:br/>
        <w:t>- Item-item covariance calculated by extracting common ratings between pairs of items.</w:t>
      </w:r>
      <w:r>
        <w:br/>
        <w:t>- Top-5 similar items identified for specific target items based on covariance values.</w:t>
      </w:r>
    </w:p>
    <w:p w14:paraId="622045B7" w14:textId="77777777" w:rsidR="0056236D" w:rsidRDefault="0025374D" w:rsidP="00B041E5">
      <w:pPr>
        <w:spacing w:line="360" w:lineRule="auto"/>
      </w:pPr>
      <w:r>
        <w:t>**Visualization Suggestion:** Add a heatmap of the MLE covariance matrix to highlight the strength of item relationships. Include a bar chart showing the top-5 similar items for a selected item.</w:t>
      </w:r>
    </w:p>
    <w:p w14:paraId="0B1F5693" w14:textId="77777777" w:rsidR="0056236D" w:rsidRDefault="0025374D" w:rsidP="00B041E5">
      <w:pPr>
        <w:pStyle w:val="Heading1"/>
        <w:spacing w:line="360" w:lineRule="auto"/>
      </w:pPr>
      <w:r>
        <w:t>SVD Implementation</w:t>
      </w:r>
    </w:p>
    <w:p w14:paraId="4C48F7C1" w14:textId="77777777" w:rsidR="0056236D" w:rsidRDefault="0025374D" w:rsidP="00B041E5">
      <w:pPr>
        <w:spacing w:line="360" w:lineRule="auto"/>
      </w:pPr>
      <w:r>
        <w:t>SVD was applied as a matrix factorization technique to decompose the normalized ratings matrix into three components: U (user preferences), Σ (singular values), and V (item features). The reconstructed matrix was evaluated to compare its accuracy against PCA.</w:t>
      </w:r>
    </w:p>
    <w:p w14:paraId="2655835A" w14:textId="77777777" w:rsidR="0056236D" w:rsidRDefault="0025374D" w:rsidP="00B041E5">
      <w:pPr>
        <w:spacing w:line="360" w:lineRule="auto"/>
      </w:pPr>
      <w:r>
        <w:t>Key results include:</w:t>
      </w:r>
      <w:r>
        <w:br/>
        <w:t>- Normalized the ratings matrix to bring all values into the same range.</w:t>
      </w:r>
      <w:r>
        <w:br/>
        <w:t>- Applied Truncated SVD to obtain a reduced representation of the ratings matrix.</w:t>
      </w:r>
      <w:r>
        <w:br/>
        <w:t>- Reconstructed the ratings matrix using the truncated components.</w:t>
      </w:r>
    </w:p>
    <w:p w14:paraId="399CDE2D" w14:textId="77777777" w:rsidR="0056236D" w:rsidRDefault="0025374D" w:rsidP="00B041E5">
      <w:pPr>
        <w:spacing w:line="360" w:lineRule="auto"/>
      </w:pPr>
      <w:r>
        <w:t>**Visualization Suggestion:** Include a heatmap of the reconstructed ratings matrix. This will demonstrate how SVD approximates the original data.</w:t>
      </w:r>
    </w:p>
    <w:p w14:paraId="52042CF4" w14:textId="77777777" w:rsidR="0056236D" w:rsidRDefault="0025374D" w:rsidP="00B041E5">
      <w:pPr>
        <w:pStyle w:val="Heading1"/>
        <w:spacing w:line="360" w:lineRule="auto"/>
      </w:pPr>
      <w:r>
        <w:lastRenderedPageBreak/>
        <w:t>Summary and Comparison</w:t>
      </w:r>
    </w:p>
    <w:p w14:paraId="053D66DC" w14:textId="77777777" w:rsidR="0056236D" w:rsidRDefault="0025374D" w:rsidP="00B041E5">
      <w:pPr>
        <w:spacing w:line="360" w:lineRule="auto"/>
      </w:pPr>
      <w:r>
        <w:t>This section compares the results obtained from PCA, covariance matrix analysis, and SVD. The primary focus is on the accuracy of predicting missing ratings and the computational efficiency of each method.</w:t>
      </w:r>
    </w:p>
    <w:p w14:paraId="0F74B8A4" w14:textId="77777777" w:rsidR="00B041E5" w:rsidRDefault="00B041E5" w:rsidP="00B041E5">
      <w:pPr>
        <w:spacing w:line="360" w:lineRule="auto"/>
      </w:pPr>
    </w:p>
    <w:tbl>
      <w:tblPr>
        <w:tblStyle w:val="TableGrid"/>
        <w:tblpPr w:leftFromText="180" w:rightFromText="180" w:vertAnchor="text" w:horzAnchor="margin" w:tblpY="67"/>
        <w:tblW w:w="0" w:type="auto"/>
        <w:tblLook w:val="04A0" w:firstRow="1" w:lastRow="0" w:firstColumn="1" w:lastColumn="0" w:noHBand="0" w:noVBand="1"/>
      </w:tblPr>
      <w:tblGrid>
        <w:gridCol w:w="2130"/>
        <w:gridCol w:w="2164"/>
        <w:gridCol w:w="2161"/>
        <w:gridCol w:w="2175"/>
      </w:tblGrid>
      <w:tr w:rsidR="00B041E5" w14:paraId="052FB057" w14:textId="77777777" w:rsidTr="00B041E5">
        <w:tc>
          <w:tcPr>
            <w:tcW w:w="2214" w:type="dxa"/>
          </w:tcPr>
          <w:p w14:paraId="41F22F6B" w14:textId="4BCA41B3" w:rsidR="00B041E5" w:rsidRDefault="00B041E5" w:rsidP="00B041E5">
            <w:pPr>
              <w:spacing w:line="360" w:lineRule="auto"/>
            </w:pPr>
            <w:r>
              <w:t>method</w:t>
            </w:r>
          </w:p>
        </w:tc>
        <w:tc>
          <w:tcPr>
            <w:tcW w:w="2214" w:type="dxa"/>
          </w:tcPr>
          <w:p w14:paraId="0311EA53" w14:textId="1ABDB3B0" w:rsidR="00B041E5" w:rsidRDefault="00B041E5" w:rsidP="00B041E5">
            <w:pPr>
              <w:spacing w:line="360" w:lineRule="auto"/>
            </w:pPr>
            <w:r>
              <w:t>Reconstruction Error</w:t>
            </w:r>
          </w:p>
        </w:tc>
        <w:tc>
          <w:tcPr>
            <w:tcW w:w="2214" w:type="dxa"/>
          </w:tcPr>
          <w:p w14:paraId="61572C72" w14:textId="59BA9101" w:rsidR="00B041E5" w:rsidRDefault="00B041E5" w:rsidP="00B041E5">
            <w:pPr>
              <w:spacing w:line="360" w:lineRule="auto"/>
            </w:pPr>
            <w:r>
              <w:t xml:space="preserve">Pros                                     </w:t>
            </w:r>
          </w:p>
        </w:tc>
        <w:tc>
          <w:tcPr>
            <w:tcW w:w="2214" w:type="dxa"/>
          </w:tcPr>
          <w:p w14:paraId="6850F764" w14:textId="55983EB2" w:rsidR="00B041E5" w:rsidRDefault="00B041E5" w:rsidP="00B041E5">
            <w:pPr>
              <w:spacing w:line="360" w:lineRule="auto"/>
              <w:ind w:firstLine="720"/>
            </w:pPr>
            <w:r>
              <w:t xml:space="preserve">Cons                                      </w:t>
            </w:r>
          </w:p>
        </w:tc>
      </w:tr>
      <w:tr w:rsidR="00B041E5" w14:paraId="5567A6E4" w14:textId="77777777" w:rsidTr="00B041E5">
        <w:tc>
          <w:tcPr>
            <w:tcW w:w="2214" w:type="dxa"/>
          </w:tcPr>
          <w:p w14:paraId="118CBA7F" w14:textId="125ADF50" w:rsidR="00B041E5" w:rsidRDefault="00B041E5" w:rsidP="00B041E5">
            <w:pPr>
              <w:spacing w:line="360" w:lineRule="auto"/>
            </w:pPr>
            <w:r>
              <w:t xml:space="preserve">PCA               </w:t>
            </w:r>
          </w:p>
        </w:tc>
        <w:tc>
          <w:tcPr>
            <w:tcW w:w="2214" w:type="dxa"/>
          </w:tcPr>
          <w:p w14:paraId="5EDB5926" w14:textId="317210CE" w:rsidR="00B041E5" w:rsidRDefault="00B041E5" w:rsidP="00B041E5">
            <w:pPr>
              <w:spacing w:line="360" w:lineRule="auto"/>
            </w:pPr>
            <w:r>
              <w:t xml:space="preserve">0.85                </w:t>
            </w:r>
          </w:p>
        </w:tc>
        <w:tc>
          <w:tcPr>
            <w:tcW w:w="2214" w:type="dxa"/>
          </w:tcPr>
          <w:p w14:paraId="1FF7FDCB" w14:textId="78589901" w:rsidR="00B041E5" w:rsidRDefault="00B041E5" w:rsidP="00B041E5">
            <w:pPr>
              <w:spacing w:line="360" w:lineRule="auto"/>
            </w:pPr>
            <w:r>
              <w:t>Efficient dimensionality reduction</w:t>
            </w:r>
          </w:p>
        </w:tc>
        <w:tc>
          <w:tcPr>
            <w:tcW w:w="2214" w:type="dxa"/>
          </w:tcPr>
          <w:p w14:paraId="07D0194F" w14:textId="4E854EF8" w:rsidR="00B041E5" w:rsidRDefault="00B041E5" w:rsidP="00B041E5">
            <w:pPr>
              <w:spacing w:line="360" w:lineRule="auto"/>
            </w:pPr>
            <w:r>
              <w:t xml:space="preserve">Sensitive to missing data imputation     </w:t>
            </w:r>
          </w:p>
        </w:tc>
      </w:tr>
      <w:tr w:rsidR="00B041E5" w14:paraId="45EA4907" w14:textId="77777777" w:rsidTr="00B041E5">
        <w:tc>
          <w:tcPr>
            <w:tcW w:w="2214" w:type="dxa"/>
          </w:tcPr>
          <w:p w14:paraId="11EE31C3" w14:textId="77777777" w:rsidR="00B041E5" w:rsidRDefault="00B041E5" w:rsidP="00B041E5">
            <w:r>
              <w:t>Covariance Matrix</w:t>
            </w:r>
          </w:p>
          <w:p w14:paraId="047A65B4" w14:textId="77777777" w:rsidR="00B041E5" w:rsidRDefault="00B041E5" w:rsidP="00B041E5">
            <w:pPr>
              <w:spacing w:line="360" w:lineRule="auto"/>
            </w:pPr>
          </w:p>
        </w:tc>
        <w:tc>
          <w:tcPr>
            <w:tcW w:w="2214" w:type="dxa"/>
          </w:tcPr>
          <w:p w14:paraId="190CF818" w14:textId="77777777" w:rsidR="00B041E5" w:rsidRDefault="00B041E5" w:rsidP="00B041E5">
            <w:r>
              <w:t>N/A</w:t>
            </w:r>
          </w:p>
          <w:p w14:paraId="669C5AF1" w14:textId="77777777" w:rsidR="00B041E5" w:rsidRDefault="00B041E5" w:rsidP="00B041E5">
            <w:pPr>
              <w:spacing w:line="360" w:lineRule="auto"/>
            </w:pPr>
          </w:p>
        </w:tc>
        <w:tc>
          <w:tcPr>
            <w:tcW w:w="2214" w:type="dxa"/>
          </w:tcPr>
          <w:p w14:paraId="2E1817A6" w14:textId="77777777" w:rsidR="00B041E5" w:rsidRDefault="00B041E5" w:rsidP="00B041E5">
            <w:r>
              <w:t>Intuitive and interpretable relationships</w:t>
            </w:r>
          </w:p>
          <w:p w14:paraId="1759C45E" w14:textId="77777777" w:rsidR="00B041E5" w:rsidRDefault="00B041E5" w:rsidP="00B041E5">
            <w:pPr>
              <w:spacing w:line="360" w:lineRule="auto"/>
            </w:pPr>
          </w:p>
        </w:tc>
        <w:tc>
          <w:tcPr>
            <w:tcW w:w="2214" w:type="dxa"/>
          </w:tcPr>
          <w:p w14:paraId="681C6F72" w14:textId="77777777" w:rsidR="00B041E5" w:rsidRDefault="00B041E5" w:rsidP="00B041E5">
            <w:r>
              <w:t>Computationally expensive for large data</w:t>
            </w:r>
          </w:p>
          <w:p w14:paraId="69CF0471" w14:textId="77777777" w:rsidR="00B041E5" w:rsidRDefault="00B041E5" w:rsidP="00B041E5">
            <w:pPr>
              <w:spacing w:line="360" w:lineRule="auto"/>
            </w:pPr>
          </w:p>
        </w:tc>
      </w:tr>
      <w:tr w:rsidR="00B041E5" w14:paraId="339C1AED" w14:textId="77777777" w:rsidTr="00B041E5">
        <w:tc>
          <w:tcPr>
            <w:tcW w:w="2214" w:type="dxa"/>
          </w:tcPr>
          <w:p w14:paraId="6787A02E" w14:textId="77777777" w:rsidR="00B041E5" w:rsidRDefault="00B041E5" w:rsidP="00B041E5">
            <w:r>
              <w:t>SVD</w:t>
            </w:r>
          </w:p>
          <w:p w14:paraId="4800738D" w14:textId="77777777" w:rsidR="00B041E5" w:rsidRDefault="00B041E5" w:rsidP="00B041E5">
            <w:pPr>
              <w:spacing w:line="360" w:lineRule="auto"/>
            </w:pPr>
          </w:p>
        </w:tc>
        <w:tc>
          <w:tcPr>
            <w:tcW w:w="2214" w:type="dxa"/>
          </w:tcPr>
          <w:p w14:paraId="07D7F974" w14:textId="77777777" w:rsidR="00B041E5" w:rsidRDefault="00B041E5" w:rsidP="00B041E5">
            <w:r>
              <w:t>0.65</w:t>
            </w:r>
          </w:p>
          <w:p w14:paraId="545DB22D" w14:textId="77777777" w:rsidR="00B041E5" w:rsidRDefault="00B041E5" w:rsidP="00B041E5">
            <w:pPr>
              <w:spacing w:line="360" w:lineRule="auto"/>
            </w:pPr>
          </w:p>
        </w:tc>
        <w:tc>
          <w:tcPr>
            <w:tcW w:w="2214" w:type="dxa"/>
          </w:tcPr>
          <w:p w14:paraId="3F53934B" w14:textId="77777777" w:rsidR="00B041E5" w:rsidRDefault="00B041E5" w:rsidP="00B041E5">
            <w:r>
              <w:t>Accurate and robust to noise</w:t>
            </w:r>
          </w:p>
          <w:p w14:paraId="29894CE7" w14:textId="77777777" w:rsidR="00B041E5" w:rsidRDefault="00B041E5" w:rsidP="00B041E5">
            <w:pPr>
              <w:spacing w:line="360" w:lineRule="auto"/>
            </w:pPr>
          </w:p>
        </w:tc>
        <w:tc>
          <w:tcPr>
            <w:tcW w:w="2214" w:type="dxa"/>
          </w:tcPr>
          <w:p w14:paraId="61FC755F" w14:textId="77777777" w:rsidR="00B041E5" w:rsidRDefault="00B041E5" w:rsidP="00B041E5">
            <w:r>
              <w:t>Requires normalization of input data</w:t>
            </w:r>
          </w:p>
          <w:p w14:paraId="13580A9E" w14:textId="77777777" w:rsidR="00B041E5" w:rsidRDefault="00B041E5" w:rsidP="00B041E5">
            <w:pPr>
              <w:spacing w:line="360" w:lineRule="auto"/>
            </w:pPr>
          </w:p>
        </w:tc>
      </w:tr>
    </w:tbl>
    <w:p w14:paraId="1957CE77" w14:textId="77777777" w:rsidR="00B041E5" w:rsidRDefault="00B041E5" w:rsidP="00B041E5">
      <w:pPr>
        <w:spacing w:line="360" w:lineRule="auto"/>
      </w:pPr>
    </w:p>
    <w:p w14:paraId="686A97F1" w14:textId="40D6B0E7" w:rsidR="00B041E5" w:rsidRPr="001B592E" w:rsidRDefault="001B592E" w:rsidP="00B041E5">
      <w:pPr>
        <w:spacing w:line="360" w:lineRule="auto"/>
        <w:rPr>
          <w:color w:val="1F497D" w:themeColor="text2"/>
          <w:sz w:val="28"/>
          <w:szCs w:val="28"/>
        </w:rPr>
      </w:pPr>
      <w:r w:rsidRPr="001B592E">
        <w:rPr>
          <w:color w:val="1F497D" w:themeColor="text2"/>
          <w:sz w:val="28"/>
          <w:szCs w:val="28"/>
        </w:rPr>
        <w:t>Result:</w:t>
      </w:r>
    </w:p>
    <w:p w14:paraId="19223C54" w14:textId="7CCBF168" w:rsidR="00B041E5" w:rsidRDefault="00197EDF" w:rsidP="00B041E5">
      <w:pPr>
        <w:spacing w:line="360" w:lineRule="auto"/>
      </w:pPr>
      <w:r>
        <w:rPr>
          <w:noProof/>
          <w:color w:val="1F497D" w:themeColor="text2"/>
          <w:sz w:val="28"/>
          <w:szCs w:val="28"/>
        </w:rPr>
        <w:lastRenderedPageBreak/>
        <w:drawing>
          <wp:inline distT="0" distB="0" distL="0" distR="0" wp14:anchorId="59689FFB" wp14:editId="1DCE3F1F">
            <wp:extent cx="3927904" cy="2384474"/>
            <wp:effectExtent l="0" t="0" r="0" b="0"/>
            <wp:docPr id="1635565037" name="Picture 2" descr="A yellow and purpl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65037" name="Picture 2" descr="A yellow and purple graph&#10;&#10;Description automatically generated"/>
                    <pic:cNvPicPr/>
                  </pic:nvPicPr>
                  <pic:blipFill>
                    <a:blip r:embed="rId11"/>
                    <a:stretch>
                      <a:fillRect/>
                    </a:stretch>
                  </pic:blipFill>
                  <pic:spPr>
                    <a:xfrm>
                      <a:off x="0" y="0"/>
                      <a:ext cx="3962500" cy="2405476"/>
                    </a:xfrm>
                    <a:prstGeom prst="rect">
                      <a:avLst/>
                    </a:prstGeom>
                  </pic:spPr>
                </pic:pic>
              </a:graphicData>
            </a:graphic>
          </wp:inline>
        </w:drawing>
      </w:r>
      <w:r>
        <w:rPr>
          <w:noProof/>
          <w:color w:val="1F497D" w:themeColor="text2"/>
          <w:sz w:val="28"/>
          <w:szCs w:val="28"/>
        </w:rPr>
        <w:drawing>
          <wp:inline distT="0" distB="0" distL="0" distR="0" wp14:anchorId="36F92502" wp14:editId="0F0D8BE1">
            <wp:extent cx="3974123" cy="2624577"/>
            <wp:effectExtent l="0" t="0" r="7620" b="4445"/>
            <wp:docPr id="1777528369" name="Picture 1" descr="A graph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28369" name="Picture 1" descr="A graph with a line in the middle&#10;&#10;Description automatically generated"/>
                    <pic:cNvPicPr/>
                  </pic:nvPicPr>
                  <pic:blipFill>
                    <a:blip r:embed="rId12"/>
                    <a:stretch>
                      <a:fillRect/>
                    </a:stretch>
                  </pic:blipFill>
                  <pic:spPr>
                    <a:xfrm>
                      <a:off x="0" y="0"/>
                      <a:ext cx="4013536" cy="2650606"/>
                    </a:xfrm>
                    <a:prstGeom prst="rect">
                      <a:avLst/>
                    </a:prstGeom>
                  </pic:spPr>
                </pic:pic>
              </a:graphicData>
            </a:graphic>
          </wp:inline>
        </w:drawing>
      </w:r>
    </w:p>
    <w:p w14:paraId="7A6582F1" w14:textId="77777777" w:rsidR="00B041E5" w:rsidRDefault="00B041E5" w:rsidP="00B041E5">
      <w:pPr>
        <w:spacing w:line="360" w:lineRule="auto"/>
      </w:pPr>
    </w:p>
    <w:p w14:paraId="4EEB19A3" w14:textId="77777777" w:rsidR="00B041E5" w:rsidRDefault="00B041E5" w:rsidP="00B041E5">
      <w:pPr>
        <w:spacing w:line="360" w:lineRule="auto"/>
      </w:pPr>
    </w:p>
    <w:p w14:paraId="344EE504" w14:textId="77777777" w:rsidR="0056236D" w:rsidRDefault="0025374D" w:rsidP="00B041E5">
      <w:pPr>
        <w:pStyle w:val="Heading1"/>
        <w:spacing w:line="360" w:lineRule="auto"/>
      </w:pPr>
      <w:r>
        <w:t>Conclusion</w:t>
      </w:r>
    </w:p>
    <w:p w14:paraId="51B4AAF6" w14:textId="77777777" w:rsidR="0056236D" w:rsidRDefault="0025374D" w:rsidP="00B041E5">
      <w:pPr>
        <w:spacing w:line="360" w:lineRule="auto"/>
      </w:pPr>
      <w:r>
        <w:t>The matrix factorization techniques explored in this assignment have demonstrated varying strengths and weaknesses. PCA is effective for dimensionality reduction but requires careful preprocessing of missing data. The MLE covariance matrix provides intuitive insights into item relationships but may not scale efficiently for large datasets. SVD stands out for its accuracy in reconstructing the ratings matrix and robustness to noise, making it a preferred choice for recommendation tasks.</w:t>
      </w:r>
    </w:p>
    <w:p w14:paraId="1B0F7769" w14:textId="77777777" w:rsidR="0056236D" w:rsidRDefault="0025374D" w:rsidP="00B041E5">
      <w:pPr>
        <w:spacing w:line="360" w:lineRule="auto"/>
      </w:pPr>
      <w:r>
        <w:lastRenderedPageBreak/>
        <w:t>The impact of matrix factorization techniques, such as SVD, highlights their potential in improving prediction accuracy and understanding latent patterns in user-item interactions. Future work could explore hybrid approaches that combine the strengths of multiple methods to enhance recommendation performance.</w:t>
      </w:r>
    </w:p>
    <w:sectPr w:rsidR="0056236D" w:rsidSect="0003461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5B1D" w14:textId="77777777" w:rsidR="00E22026" w:rsidRDefault="00E22026">
      <w:pPr>
        <w:spacing w:after="0" w:line="240" w:lineRule="auto"/>
      </w:pPr>
      <w:r>
        <w:separator/>
      </w:r>
    </w:p>
  </w:endnote>
  <w:endnote w:type="continuationSeparator" w:id="0">
    <w:p w14:paraId="48D1CB57" w14:textId="77777777" w:rsidR="00E22026" w:rsidRDefault="00E2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D026" w14:textId="77777777" w:rsidR="0056236D" w:rsidRDefault="0025374D">
    <w:pPr>
      <w:pStyle w:val="Footer"/>
      <w:jc w:val="center"/>
    </w:pPr>
    <w:r>
      <w:t>Page X of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ECBE" w14:textId="77777777" w:rsidR="00E22026" w:rsidRDefault="00E22026">
      <w:pPr>
        <w:spacing w:after="0" w:line="240" w:lineRule="auto"/>
      </w:pPr>
      <w:r>
        <w:separator/>
      </w:r>
    </w:p>
  </w:footnote>
  <w:footnote w:type="continuationSeparator" w:id="0">
    <w:p w14:paraId="0412E398" w14:textId="77777777" w:rsidR="00E22026" w:rsidRDefault="00E22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4530015">
    <w:abstractNumId w:val="8"/>
  </w:num>
  <w:num w:numId="2" w16cid:durableId="244656227">
    <w:abstractNumId w:val="6"/>
  </w:num>
  <w:num w:numId="3" w16cid:durableId="1571423880">
    <w:abstractNumId w:val="5"/>
  </w:num>
  <w:num w:numId="4" w16cid:durableId="1761678373">
    <w:abstractNumId w:val="4"/>
  </w:num>
  <w:num w:numId="5" w16cid:durableId="1847135950">
    <w:abstractNumId w:val="7"/>
  </w:num>
  <w:num w:numId="6" w16cid:durableId="1290168008">
    <w:abstractNumId w:val="3"/>
  </w:num>
  <w:num w:numId="7" w16cid:durableId="22825435">
    <w:abstractNumId w:val="2"/>
  </w:num>
  <w:num w:numId="8" w16cid:durableId="476069425">
    <w:abstractNumId w:val="1"/>
  </w:num>
  <w:num w:numId="9" w16cid:durableId="120756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F76"/>
    <w:rsid w:val="00034616"/>
    <w:rsid w:val="0006063C"/>
    <w:rsid w:val="0015074B"/>
    <w:rsid w:val="00197EDF"/>
    <w:rsid w:val="001B592E"/>
    <w:rsid w:val="0025374D"/>
    <w:rsid w:val="0029639D"/>
    <w:rsid w:val="00326F90"/>
    <w:rsid w:val="004E39EB"/>
    <w:rsid w:val="004E70F0"/>
    <w:rsid w:val="0056236D"/>
    <w:rsid w:val="00AA1D8D"/>
    <w:rsid w:val="00B041E5"/>
    <w:rsid w:val="00B47730"/>
    <w:rsid w:val="00CB0664"/>
    <w:rsid w:val="00E220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F6E86"/>
  <w14:defaultImageDpi w14:val="300"/>
  <w15:docId w15:val="{C2023FD3-03CE-4C12-9694-F5EC971A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115863">
      <w:bodyDiv w:val="1"/>
      <w:marLeft w:val="0"/>
      <w:marRight w:val="0"/>
      <w:marTop w:val="0"/>
      <w:marBottom w:val="0"/>
      <w:divBdr>
        <w:top w:val="none" w:sz="0" w:space="0" w:color="auto"/>
        <w:left w:val="none" w:sz="0" w:space="0" w:color="auto"/>
        <w:bottom w:val="none" w:sz="0" w:space="0" w:color="auto"/>
        <w:right w:val="none" w:sz="0" w:space="0" w:color="auto"/>
      </w:divBdr>
    </w:div>
    <w:div w:id="1289556662">
      <w:bodyDiv w:val="1"/>
      <w:marLeft w:val="0"/>
      <w:marRight w:val="0"/>
      <w:marTop w:val="0"/>
      <w:marBottom w:val="0"/>
      <w:divBdr>
        <w:top w:val="none" w:sz="0" w:space="0" w:color="auto"/>
        <w:left w:val="none" w:sz="0" w:space="0" w:color="auto"/>
        <w:bottom w:val="none" w:sz="0" w:space="0" w:color="auto"/>
        <w:right w:val="none" w:sz="0" w:space="0" w:color="auto"/>
      </w:divBdr>
    </w:div>
    <w:div w:id="1331712558">
      <w:bodyDiv w:val="1"/>
      <w:marLeft w:val="0"/>
      <w:marRight w:val="0"/>
      <w:marTop w:val="0"/>
      <w:marBottom w:val="0"/>
      <w:divBdr>
        <w:top w:val="none" w:sz="0" w:space="0" w:color="auto"/>
        <w:left w:val="none" w:sz="0" w:space="0" w:color="auto"/>
        <w:bottom w:val="none" w:sz="0" w:space="0" w:color="auto"/>
        <w:right w:val="none" w:sz="0" w:space="0" w:color="auto"/>
      </w:divBdr>
    </w:div>
    <w:div w:id="1404713972">
      <w:bodyDiv w:val="1"/>
      <w:marLeft w:val="0"/>
      <w:marRight w:val="0"/>
      <w:marTop w:val="0"/>
      <w:marBottom w:val="0"/>
      <w:divBdr>
        <w:top w:val="none" w:sz="0" w:space="0" w:color="auto"/>
        <w:left w:val="none" w:sz="0" w:space="0" w:color="auto"/>
        <w:bottom w:val="none" w:sz="0" w:space="0" w:color="auto"/>
        <w:right w:val="none" w:sz="0" w:space="0" w:color="auto"/>
      </w:divBdr>
    </w:div>
    <w:div w:id="1671448892">
      <w:bodyDiv w:val="1"/>
      <w:marLeft w:val="0"/>
      <w:marRight w:val="0"/>
      <w:marTop w:val="0"/>
      <w:marBottom w:val="0"/>
      <w:divBdr>
        <w:top w:val="none" w:sz="0" w:space="0" w:color="auto"/>
        <w:left w:val="none" w:sz="0" w:space="0" w:color="auto"/>
        <w:bottom w:val="none" w:sz="0" w:space="0" w:color="auto"/>
        <w:right w:val="none" w:sz="0" w:space="0" w:color="auto"/>
      </w:divBdr>
    </w:div>
    <w:div w:id="2007320065">
      <w:bodyDiv w:val="1"/>
      <w:marLeft w:val="0"/>
      <w:marRight w:val="0"/>
      <w:marTop w:val="0"/>
      <w:marBottom w:val="0"/>
      <w:divBdr>
        <w:top w:val="none" w:sz="0" w:space="0" w:color="auto"/>
        <w:left w:val="none" w:sz="0" w:space="0" w:color="auto"/>
        <w:bottom w:val="none" w:sz="0" w:space="0" w:color="auto"/>
        <w:right w:val="none" w:sz="0" w:space="0" w:color="auto"/>
      </w:divBdr>
    </w:div>
    <w:div w:id="2065523756">
      <w:bodyDiv w:val="1"/>
      <w:marLeft w:val="0"/>
      <w:marRight w:val="0"/>
      <w:marTop w:val="0"/>
      <w:marBottom w:val="0"/>
      <w:divBdr>
        <w:top w:val="none" w:sz="0" w:space="0" w:color="auto"/>
        <w:left w:val="none" w:sz="0" w:space="0" w:color="auto"/>
        <w:bottom w:val="none" w:sz="0" w:space="0" w:color="auto"/>
        <w:right w:val="none" w:sz="0" w:space="0" w:color="auto"/>
      </w:divBdr>
    </w:div>
    <w:div w:id="21143226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8e84fe1-b3ab-4f36-a57c-b87e6482fcf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06CB68B3F40654CA5C9C6E1CDAC14BA" ma:contentTypeVersion="13" ma:contentTypeDescription="Create a new document." ma:contentTypeScope="" ma:versionID="e1946f87e1498ab5aedbb9eda6678aad">
  <xsd:schema xmlns:xsd="http://www.w3.org/2001/XMLSchema" xmlns:xs="http://www.w3.org/2001/XMLSchema" xmlns:p="http://schemas.microsoft.com/office/2006/metadata/properties" xmlns:ns3="78491e73-fa34-4d20-95bd-cb555bc36e90" xmlns:ns4="18e84fe1-b3ab-4f36-a57c-b87e6482fcfb" targetNamespace="http://schemas.microsoft.com/office/2006/metadata/properties" ma:root="true" ma:fieldsID="eaaf47ff9182ee1996b1d188fd9b461f" ns3:_="" ns4:_="">
    <xsd:import namespace="78491e73-fa34-4d20-95bd-cb555bc36e90"/>
    <xsd:import namespace="18e84fe1-b3ab-4f36-a57c-b87e6482fc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1e73-fa34-4d20-95bd-cb555bc36e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e84fe1-b3ab-4f36-a57c-b87e6482fc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CBE2FF-6C7A-4B85-BBE1-33A03A8E770D}">
  <ds:schemaRefs>
    <ds:schemaRef ds:uri="http://purl.org/dc/dcmitype/"/>
    <ds:schemaRef ds:uri="http://schemas.microsoft.com/office/infopath/2007/PartnerControls"/>
    <ds:schemaRef ds:uri="http://purl.org/dc/elements/1.1/"/>
    <ds:schemaRef ds:uri="http://schemas.microsoft.com/office/2006/metadata/properties"/>
    <ds:schemaRef ds:uri="18e84fe1-b3ab-4f36-a57c-b87e6482fcfb"/>
    <ds:schemaRef ds:uri="http://schemas.microsoft.com/office/2006/documentManagement/types"/>
    <ds:schemaRef ds:uri="http://schemas.openxmlformats.org/package/2006/metadata/core-properties"/>
    <ds:schemaRef ds:uri="78491e73-fa34-4d20-95bd-cb555bc36e90"/>
    <ds:schemaRef ds:uri="http://www.w3.org/XML/1998/namespace"/>
    <ds:schemaRef ds:uri="http://purl.org/dc/term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8ACC5EE4-9219-4BA1-AE41-E2B672CE6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1e73-fa34-4d20-95bd-cb555bc36e90"/>
    <ds:schemaRef ds:uri="18e84fe1-b3ab-4f36-a57c-b87e6482f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897636-9273-4E1E-95DE-7EBB345DC9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 SHERIF ALI MOHAMED</cp:lastModifiedBy>
  <cp:revision>2</cp:revision>
  <dcterms:created xsi:type="dcterms:W3CDTF">2024-12-31T13:16:00Z</dcterms:created>
  <dcterms:modified xsi:type="dcterms:W3CDTF">2024-12-31T13:16:00Z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0x010100006CB68B3F40654CA5C9C6E1CDAC14BA</vt:lpwstr>
  </property>
</Properties>
</file>