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Test Plan</w:t>
      </w:r>
    </w:p>
    <w:p>
      <w:pPr>
        <w:spacing w:after="120"/>
      </w:pPr>
      <w:r>
        <w:rPr>
          <w:i/>
          <w:iCs/>
          <w:sz w:val="18"/>
          <w:szCs w:val="18"/>
        </w:rPr>
        <w:t xml:space="preserve">EAIS Scheduling Agent Prototype — EAIS-HR-2159-TA-01 — D3 of the engineering document pack. Written before the tests, per PLAN.md T7-T13.</w:t>
      </w:r>
    </w:p>
    <w:p>
      <w:pPr>
        <w:pStyle w:val="Heading1"/>
        <w:spacing w:after="80" w:before="200"/>
      </w:pPr>
      <w:r>
        <w:t xml:space="preserve">1. What is tested, and at which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D9D9D9" w:val="clear"/>
            <w:tcMar>
              <w:top w:type="dxa" w:w="40"/>
              <w:left w:type="dxa" w:w="60"/>
              <w:bottom w:type="dxa" w:w="40"/>
              <w:right w:type="dxa" w:w="60"/>
            </w:tcMar>
          </w:tcPr>
          <w:p>
            <w:r>
              <w:rPr>
                <w:b/>
                <w:bCs/>
              </w:rPr>
              <w:t xml:space="preserve">Level</w:t>
            </w:r>
          </w:p>
        </w:tc>
        <w:tc>
          <w:tcPr>
            <w:tcW w:type="dxa" w:w="3200"/>
            <w:shd w:fill="D9D9D9" w:val="clear"/>
            <w:tcMar>
              <w:top w:type="dxa" w:w="40"/>
              <w:left w:type="dxa" w:w="60"/>
              <w:bottom w:type="dxa" w:w="40"/>
              <w:right w:type="dxa" w:w="60"/>
            </w:tcMar>
          </w:tcPr>
          <w:p>
            <w:r>
              <w:rPr>
                <w:b/>
                <w:bCs/>
              </w:rPr>
              <w:t xml:space="preserve">What it covers</w:t>
            </w:r>
          </w:p>
        </w:tc>
        <w:tc>
          <w:tcPr>
            <w:tcW w:type="dxa" w:w="4560"/>
            <w:shd w:fill="D9D9D9" w:val="clear"/>
            <w:tcMar>
              <w:top w:type="dxa" w:w="40"/>
              <w:left w:type="dxa" w:w="60"/>
              <w:bottom w:type="dxa" w:w="40"/>
              <w:right w:type="dxa" w:w="60"/>
            </w:tcMar>
          </w:tcPr>
          <w:p>
            <w:r>
              <w:rPr>
                <w:b/>
                <w:bCs/>
              </w:rPr>
              <w:t xml:space="preserve">Example / notes</w:t>
            </w:r>
          </w:p>
        </w:tc>
      </w:tr>
      <w:tr>
        <w:tc>
          <w:tcPr>
            <w:tcW w:type="dxa" w:w="1600"/>
            <w:tcMar>
              <w:top w:type="dxa" w:w="40"/>
              <w:left w:type="dxa" w:w="60"/>
              <w:bottom w:type="dxa" w:w="40"/>
              <w:right w:type="dxa" w:w="60"/>
            </w:tcMar>
          </w:tcPr>
          <w:p>
            <w:r>
              <w:t xml:space="preserve">Unit</w:t>
            </w:r>
          </w:p>
        </w:tc>
        <w:tc>
          <w:tcPr>
            <w:tcW w:type="dxa" w:w="3200"/>
            <w:tcMar>
              <w:top w:type="dxa" w:w="40"/>
              <w:left w:type="dxa" w:w="60"/>
              <w:bottom w:type="dxa" w:w="40"/>
              <w:right w:type="dxa" w:w="60"/>
            </w:tcMar>
          </w:tcPr>
          <w:p>
            <w:r>
              <w:t xml:space="preserve">Manifest loader, skill-pack validation rules, approval-gate rule evaluation in isolation, audit-record schema, offline intake parser.</w:t>
            </w:r>
          </w:p>
        </w:tc>
        <w:tc>
          <w:tcPr>
            <w:tcW w:type="dxa" w:w="4560"/>
            <w:tcMar>
              <w:top w:type="dxa" w:w="40"/>
              <w:left w:type="dxa" w:w="60"/>
              <w:bottom w:type="dxa" w:w="40"/>
              <w:right w:type="dxa" w:w="60"/>
            </w:tcMar>
          </w:tcPr>
          <w:p>
            <w:r>
              <w:t xml:space="preserve">Manifest loader rejects malformed YAML with a clear error (§3, RESEARCH.md/PLAN.md T3). Offline parser tested against training/*.jsonl fixtures.</w:t>
            </w:r>
          </w:p>
        </w:tc>
      </w:tr>
      <w:tr>
        <w:tc>
          <w:tcPr>
            <w:tcW w:type="dxa" w:w="1600"/>
            <w:tcMar>
              <w:top w:type="dxa" w:w="40"/>
              <w:left w:type="dxa" w:w="60"/>
              <w:bottom w:type="dxa" w:w="40"/>
              <w:right w:type="dxa" w:w="60"/>
            </w:tcMar>
          </w:tcPr>
          <w:p>
            <w:r>
              <w:t xml:space="preserve">Integration</w:t>
            </w:r>
          </w:p>
        </w:tc>
        <w:tc>
          <w:tcPr>
            <w:tcW w:type="dxa" w:w="3200"/>
            <w:tcMar>
              <w:top w:type="dxa" w:w="40"/>
              <w:left w:type="dxa" w:w="60"/>
              <w:bottom w:type="dxa" w:w="40"/>
              <w:right w:type="dxa" w:w="60"/>
            </w:tcMar>
          </w:tcPr>
          <w:p>
            <w:r>
              <w:t xml:space="preserve">One full request through intake → core → skill pack → gate → store → audit, for each sector.</w:t>
            </w:r>
          </w:p>
        </w:tc>
        <w:tc>
          <w:tcPr>
            <w:tcW w:type="dxa" w:w="4560"/>
            <w:tcMar>
              <w:top w:type="dxa" w:w="40"/>
              <w:left w:type="dxa" w:w="60"/>
              <w:bottom w:type="dxa" w:w="40"/>
              <w:right w:type="dxa" w:w="60"/>
            </w:tcMar>
          </w:tcPr>
          <w:p>
            <w:r>
              <w:t xml:space="preserve">Confirms the pipeline wiring, not just each piece alone.</w:t>
            </w:r>
          </w:p>
        </w:tc>
      </w:tr>
      <w:tr>
        <w:tc>
          <w:tcPr>
            <w:tcW w:type="dxa" w:w="1600"/>
            <w:tcMar>
              <w:top w:type="dxa" w:w="40"/>
              <w:left w:type="dxa" w:w="60"/>
              <w:bottom w:type="dxa" w:w="40"/>
              <w:right w:type="dxa" w:w="60"/>
            </w:tcMar>
          </w:tcPr>
          <w:p>
            <w:r>
              <w:t xml:space="preserve">Cross-sector / abstraction</w:t>
            </w:r>
          </w:p>
        </w:tc>
        <w:tc>
          <w:tcPr>
            <w:tcW w:type="dxa" w:w="3200"/>
            <w:tcMar>
              <w:top w:type="dxa" w:w="40"/>
              <w:left w:type="dxa" w:w="60"/>
              <w:bottom w:type="dxa" w:w="40"/>
              <w:right w:type="dxa" w:w="60"/>
            </w:tcMar>
          </w:tcPr>
          <w:p>
            <w:r>
              <w:t xml:space="preserve">The same core producing different, correct behaviour for clinic vs. restaurant from configuration alone (FR1, FR8, AC5).</w:t>
            </w:r>
          </w:p>
        </w:tc>
        <w:tc>
          <w:tcPr>
            <w:tcW w:type="dxa" w:w="4560"/>
            <w:tcMar>
              <w:top w:type="dxa" w:w="40"/>
              <w:left w:type="dxa" w:w="60"/>
              <w:bottom w:type="dxa" w:w="40"/>
              <w:right w:type="dxa" w:w="60"/>
            </w:tcMar>
          </w:tcPr>
          <w:p>
            <w:r>
              <w:t xml:space="preserve">Runs the identical core entry point with only the sector argument changed.</w:t>
            </w:r>
          </w:p>
        </w:tc>
      </w:tr>
      <w:tr>
        <w:tc>
          <w:tcPr>
            <w:tcW w:type="dxa" w:w="1600"/>
            <w:tcMar>
              <w:top w:type="dxa" w:w="40"/>
              <w:left w:type="dxa" w:w="60"/>
              <w:bottom w:type="dxa" w:w="40"/>
              <w:right w:type="dxa" w:w="60"/>
            </w:tcMar>
          </w:tcPr>
          <w:p>
            <w:r>
              <w:t xml:space="preserve">Structural / R1-proof</w:t>
            </w:r>
          </w:p>
        </w:tc>
        <w:tc>
          <w:tcPr>
            <w:tcW w:type="dxa" w:w="3200"/>
            <w:tcMar>
              <w:top w:type="dxa" w:w="40"/>
              <w:left w:type="dxa" w:w="60"/>
              <w:bottom w:type="dxa" w:w="40"/>
              <w:right w:type="dxa" w:w="60"/>
            </w:tcMar>
          </w:tcPr>
          <w:p>
            <w:r>
              <w:t xml:space="preserve">A test that fails if sector-specific logic is reintroduced into core/ (AC1).</w:t>
            </w:r>
          </w:p>
        </w:tc>
        <w:tc>
          <w:tcPr>
            <w:tcW w:type="dxa" w:w="4560"/>
            <w:tcMar>
              <w:top w:type="dxa" w:w="40"/>
              <w:left w:type="dxa" w:w="60"/>
              <w:bottom w:type="dxa" w:w="40"/>
              <w:right w:type="dxa" w:w="60"/>
            </w:tcMar>
          </w:tcPr>
          <w:p>
            <w:r>
              <w:t xml:space="preserve">Not a behavioural test — inspects the core module itself (e.g. no sector token present).</w:t>
            </w:r>
          </w:p>
        </w:tc>
      </w:tr>
      <w:tr>
        <w:tc>
          <w:tcPr>
            <w:tcW w:type="dxa" w:w="1600"/>
            <w:tcMar>
              <w:top w:type="dxa" w:w="40"/>
              <w:left w:type="dxa" w:w="60"/>
              <w:bottom w:type="dxa" w:w="40"/>
              <w:right w:type="dxa" w:w="60"/>
            </w:tcMar>
          </w:tcPr>
          <w:p>
            <w:r>
              <w:t xml:space="preserve">Boundary / conflict</w:t>
            </w:r>
          </w:p>
        </w:tc>
        <w:tc>
          <w:tcPr>
            <w:tcW w:type="dxa" w:w="3200"/>
            <w:tcMar>
              <w:top w:type="dxa" w:w="40"/>
              <w:left w:type="dxa" w:w="60"/>
              <w:bottom w:type="dxa" w:w="40"/>
              <w:right w:type="dxa" w:w="60"/>
            </w:tcMar>
          </w:tcPr>
          <w:p>
            <w:r>
              <w:t xml:space="preserve">Slot-boundary conflict detection: adjacent (no conflict), overlapping (conflict), exactly-equal boundaries.</w:t>
            </w:r>
          </w:p>
        </w:tc>
        <w:tc>
          <w:tcPr>
            <w:tcW w:type="dxa" w:w="4560"/>
            <w:tcMar>
              <w:top w:type="dxa" w:w="40"/>
              <w:left w:type="dxa" w:w="60"/>
              <w:bottom w:type="dxa" w:w="40"/>
              <w:right w:type="dxa" w:w="60"/>
            </w:tcMar>
          </w:tcPr>
          <w:p>
            <w:r>
              <w:t xml:space="preserve">Directly exercises FR7 at the edges, where off-by-one errors live.</w:t>
            </w:r>
          </w:p>
        </w:tc>
      </w:tr>
      <w:tr>
        <w:tc>
          <w:tcPr>
            <w:tcW w:type="dxa" w:w="1600"/>
            <w:tcMar>
              <w:top w:type="dxa" w:w="40"/>
              <w:left w:type="dxa" w:w="60"/>
              <w:bottom w:type="dxa" w:w="40"/>
              <w:right w:type="dxa" w:w="60"/>
            </w:tcMar>
          </w:tcPr>
          <w:p>
            <w:r>
              <w:t xml:space="preserve">Determinism / regression</w:t>
            </w:r>
          </w:p>
        </w:tc>
        <w:tc>
          <w:tcPr>
            <w:tcW w:type="dxa" w:w="3200"/>
            <w:tcMar>
              <w:top w:type="dxa" w:w="40"/>
              <w:left w:type="dxa" w:w="60"/>
              <w:bottom w:type="dxa" w:w="40"/>
              <w:right w:type="dxa" w:w="60"/>
            </w:tcMar>
          </w:tcPr>
          <w:p>
            <w:r>
              <w:t xml:space="preserve">Offline intake: identical input produces identical output across repeated runs (AC7).</w:t>
            </w:r>
          </w:p>
        </w:tc>
        <w:tc>
          <w:tcPr>
            <w:tcW w:type="dxa" w:w="4560"/>
            <w:tcMar>
              <w:top w:type="dxa" w:w="40"/>
              <w:left w:type="dxa" w:w="60"/>
              <w:bottom w:type="dxa" w:w="40"/>
              <w:right w:type="dxa" w:w="60"/>
            </w:tcMar>
          </w:tcPr>
          <w:p>
            <w:r>
              <w:t xml:space="preserve">Run the same fixture twice in one test, assert equality.</w:t>
            </w:r>
          </w:p>
        </w:tc>
      </w:tr>
    </w:tbl>
    <w:p>
      <w:pPr>
        <w:pStyle w:val="Heading1"/>
        <w:spacing w:after="80" w:before="200"/>
      </w:pPr>
      <w:r>
        <w:t xml:space="preserve">2. What is deliberately not tested, and why</w:t>
      </w:r>
    </w:p>
    <w:p>
      <w:pPr>
        <w:pStyle w:val="ListParagraph"/>
        <w:numPr>
          <w:ilvl w:val="0"/>
          <w:numId w:val="2"/>
        </w:numPr>
        <w:spacing w:after="50"/>
      </w:pPr>
      <w:r>
        <w:rPr>
          <w:b/>
          <w:bCs/>
        </w:rPr>
        <w:t xml:space="preserve">No UI/browser tests — </w:t>
      </w:r>
      <w:r>
        <w:t xml:space="preserve">no user interface exists; out of scope per the brief §5.3.</w:t>
      </w:r>
    </w:p>
    <w:p>
      <w:pPr>
        <w:pStyle w:val="ListParagraph"/>
        <w:numPr>
          <w:ilvl w:val="0"/>
          <w:numId w:val="2"/>
        </w:numPr>
        <w:spacing w:after="50"/>
      </w:pPr>
      <w:r>
        <w:rPr>
          <w:b/>
          <w:bCs/>
        </w:rPr>
        <w:t xml:space="preserve">No load or performance testing — </w:t>
      </w:r>
      <w:r>
        <w:t xml:space="preserve">this is a single-run offline-testable prototype, not a production service; throughput/latency under load isn’t a claim the submission makes.</w:t>
      </w:r>
    </w:p>
    <w:p>
      <w:pPr>
        <w:pStyle w:val="ListParagraph"/>
        <w:numPr>
          <w:ilvl w:val="0"/>
          <w:numId w:val="2"/>
        </w:numPr>
        <w:spacing w:after="50"/>
      </w:pPr>
      <w:r>
        <w:rPr>
          <w:b/>
          <w:bCs/>
        </w:rPr>
        <w:t xml:space="preserve">No cross-run persistence durability beyond SQLite file reuse — </w:t>
      </w:r>
      <w:r>
        <w:t xml:space="preserve">FR7 requires only same-run conflict detection; testing multi-process or crash-recovery durability would test a guarantee the design doesn’t make (see SRS.docx §4, Assumptions).</w:t>
      </w:r>
    </w:p>
    <w:p>
      <w:pPr>
        <w:pStyle w:val="ListParagraph"/>
        <w:numPr>
          <w:ilvl w:val="0"/>
          <w:numId w:val="2"/>
        </w:numPr>
        <w:spacing w:after="50"/>
      </w:pPr>
      <w:r>
        <w:rPr>
          <w:b/>
          <w:bCs/>
        </w:rPr>
        <w:t xml:space="preserve">No exhaustive natural-language phrasing coverage — </w:t>
      </w:r>
      <w:r>
        <w:t xml:space="preserve">the 20 examples in training/ are a deliberately representative sample across happy-path, missing-field, ambiguous, out-of-hours, and casual-shorthand categories, not an attempt at exhaustive phrasing coverage — see training/README.md.</w:t>
      </w:r>
    </w:p>
    <w:p>
      <w:pPr>
        <w:pStyle w:val="ListParagraph"/>
        <w:numPr>
          <w:ilvl w:val="0"/>
          <w:numId w:val="2"/>
        </w:numPr>
        <w:spacing w:after="50"/>
      </w:pPr>
      <w:r>
        <w:rPr>
          <w:b/>
          <w:bCs/>
        </w:rPr>
        <w:t xml:space="preserve">No multi-timezone tests — </w:t>
      </w:r>
      <w:r>
        <w:t xml:space="preserve">single fixed timezone is an explicit assumption (SRS.docx §4); multi-timezone handling isn’t implemented, so isn’t tested.</w:t>
      </w:r>
    </w:p>
    <w:p>
      <w:pPr>
        <w:pStyle w:val="ListParagraph"/>
        <w:numPr>
          <w:ilvl w:val="0"/>
          <w:numId w:val="2"/>
        </w:numPr>
        <w:spacing w:after="50"/>
      </w:pPr>
      <w:r>
        <w:rPr>
          <w:b/>
          <w:bCs/>
        </w:rPr>
        <w:t xml:space="preserve">No authentication/authorization tests — </w:t>
      </w:r>
      <w:r>
        <w:t xml:space="preserve">no auth exists in this prototype; out of scope per the brief §5.3.</w:t>
      </w:r>
    </w:p>
    <w:p>
      <w:pPr>
        <w:pStyle w:val="Heading1"/>
        <w:spacing w:after="80" w:before="200"/>
      </w:pPr>
      <w:r>
        <w:t xml:space="preserve">3. Testing without network access</w:t>
      </w:r>
    </w:p>
    <w:p>
      <w:pPr>
        <w:spacing w:after="120"/>
      </w:pPr>
      <w:r>
        <w:t xml:space="preserve">The default test command runs with no network access available, by construction rather than by convention:</w:t>
      </w:r>
    </w:p>
    <w:p>
      <w:pPr>
        <w:pStyle w:val="ListParagraph"/>
        <w:numPr>
          <w:ilvl w:val="0"/>
          <w:numId w:val="2"/>
        </w:numPr>
        <w:spacing w:after="50"/>
      </w:pPr>
      <w:r>
        <w:t xml:space="preserve">The offline intake path (T12) is the one exercised by the default suite; it is pure rule/regex logic with no external calls.</w:t>
      </w:r>
    </w:p>
    <w:p>
      <w:pPr>
        <w:pStyle w:val="ListParagraph"/>
        <w:numPr>
          <w:ilvl w:val="0"/>
          <w:numId w:val="2"/>
        </w:numPr>
        <w:spacing w:after="50"/>
      </w:pPr>
      <w:r>
        <w:t xml:space="preserve">Persistence uses in-memory storage or a local SQLite file — no external database.</w:t>
      </w:r>
    </w:p>
    <w:p>
      <w:pPr>
        <w:pStyle w:val="ListParagraph"/>
        <w:numPr>
          <w:ilvl w:val="0"/>
          <w:numId w:val="2"/>
        </w:numPr>
        <w:spacing w:after="50"/>
      </w:pPr>
      <w:r>
        <w:t xml:space="preserve">Manifest and skill-pack configuration are read from local files only.</w:t>
      </w:r>
    </w:p>
    <w:p>
      <w:pPr>
        <w:pStyle w:val="ListParagraph"/>
        <w:numPr>
          <w:ilvl w:val="0"/>
          <w:numId w:val="2"/>
        </w:numPr>
        <w:spacing w:after="50"/>
      </w:pPr>
      <w:r>
        <w:t xml:space="preserve">The LLM-backed intake path (T13) is excluded from the default suite and marked separately (e.g. a `llm` test marker), run only when a local model is confirmed available — it is smoke-tested manually, not part of the graded offline run.</w:t>
      </w:r>
    </w:p>
    <w:p>
      <w:pPr>
        <w:pStyle w:val="Heading1"/>
        <w:spacing w:after="80" w:before="200"/>
      </w:pPr>
      <w:r>
        <w:t xml:space="preserve">4. Testing a non-deterministic step (LLM intake)</w:t>
      </w:r>
    </w:p>
    <w:p>
      <w:pPr>
        <w:spacing w:after="120"/>
      </w:pPr>
      <w:r>
        <w:t xml:space="preserve">The LLM intake step is the one part of the system whose exact output cannot be pinned down between runs or model versions. Rather than asserting exact field values against it, testing is structured in three tiers:</w:t>
      </w:r>
    </w:p>
    <w:p>
      <w:pPr>
        <w:pStyle w:val="ListParagraph"/>
        <w:numPr>
          <w:ilvl w:val="0"/>
          <w:numId w:val="2"/>
        </w:numPr>
        <w:spacing w:after="50"/>
      </w:pPr>
      <w:r>
        <w:rPr>
          <w:b/>
          <w:bCs/>
        </w:rPr>
        <w:t xml:space="preserve">Schema-shape assertions — </w:t>
      </w:r>
      <w:r>
        <w:t xml:space="preserve">assert the required keys are present and correctly typed (e.g. party_size is a positive integer when present), not their exact values.</w:t>
      </w:r>
    </w:p>
    <w:p>
      <w:pPr>
        <w:pStyle w:val="ListParagraph"/>
        <w:numPr>
          <w:ilvl w:val="0"/>
          <w:numId w:val="2"/>
        </w:numPr>
        <w:spacing w:after="50"/>
      </w:pPr>
      <w:r>
        <w:rPr>
          <w:b/>
          <w:bCs/>
        </w:rPr>
        <w:t xml:space="preserve">Property assertions on known-good inputs — </w:t>
      </w:r>
      <w:r>
        <w:t xml:space="preserve">for a handful of unambiguous fixtures (e.g. "table for 4 tomorrow at 8pm"), assert derived properties that should hold regardless of exact wording — the resolved date falls on the correct day, party_size equals 4 — tolerating paraphrase variance in anything not asserted.</w:t>
      </w:r>
    </w:p>
    <w:p>
      <w:pPr>
        <w:pStyle w:val="ListParagraph"/>
        <w:numPr>
          <w:ilvl w:val="0"/>
          <w:numId w:val="2"/>
        </w:numPr>
        <w:spacing w:after="50"/>
      </w:pPr>
      <w:r>
        <w:rPr>
          <w:b/>
          <w:bCs/>
        </w:rPr>
        <w:t xml:space="preserve">Explicit non-goal — </w:t>
      </w:r>
      <w:r>
        <w:t xml:space="preserve">exact wording or formatting fidelity of the LLM’s free-text extraction beyond structural validity is accepted as untested and is documented here as a known limitation, rather than pinned with a brittle exact-match assertion that would be testing the model’s phrasing, not the system’s correctness.</w:t>
      </w:r>
    </w:p>
    <w:p>
      <w:pPr>
        <w:spacing w:after="120"/>
      </w:pPr>
      <w:r>
        <w:t xml:space="preserve">The deterministic offline path, not the LLM path, is what AC7’s repeat-run-identical-output guarantee is measured against — that guarantee is a property of the offline parser by design, not something claimed of the LLM path.</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2026-08-04T13:01:48.366Z</dcterms:created>
  <dcterms:modified xsi:type="dcterms:W3CDTF">2026-08-04T13:01:48.368Z</dcterms:modified>
</cp:coreProperties>
</file>

<file path=docProps/custom.xml><?xml version="1.0" encoding="utf-8"?>
<Properties xmlns="http://schemas.openxmlformats.org/officeDocument/2006/custom-properties" xmlns:vt="http://schemas.openxmlformats.org/officeDocument/2006/docPropsVTypes"/>
</file>