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Data Model &amp; Entity Relationship Diagram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EAIS Scheduling Agent Prototype — EAIS-HR-2159-TA-01 — D2 of the engineering document pack</w:t>
      </w:r>
    </w:p>
    <w:p>
      <w:pPr>
        <w:pStyle w:val="Heading1"/>
        <w:spacing w:after="80" w:before="200"/>
      </w:pPr>
      <w:r>
        <w:t xml:space="preserve">1. Entities and key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3200"/>
        <w:gridCol w:w="1960"/>
      </w:tblGrid>
      <w:tr>
        <w:trPr>
          <w:tblHeader/>
        </w:trPr>
        <w:tc>
          <w:tcPr>
            <w:tcW w:type="dxa" w:w="16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</w:rPr>
              <w:t xml:space="preserve">Entity</w:t>
            </w:r>
          </w:p>
        </w:tc>
        <w:tc>
          <w:tcPr>
            <w:tcW w:type="dxa" w:w="26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32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dxa" w:w="196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</w:rPr>
              <w:t xml:space="preserve">Scope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SectorManifest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sector (PK)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Sector identifier tag; used for reporting/audit only, never branched on in the core.</w:t>
            </w:r>
          </w:p>
        </w:tc>
        <w:tc>
          <w:tcPr>
            <w:tcW w:type="dxa" w:w="19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Shared schema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SectorManifest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enabled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Whether this sector’s agent is active at all.</w:t>
            </w:r>
          </w:p>
        </w:tc>
        <w:tc>
          <w:tcPr>
            <w:tcW w:type="dxa" w:w="19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Shared schema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SectorManifest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skill_pack_ref (FK)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Which SkillPackConfig to load for this sector.</w:t>
            </w:r>
          </w:p>
        </w:tc>
        <w:tc>
          <w:tcPr>
            <w:tcW w:type="dxa" w:w="19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Shared schema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SectorManifest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approval_required_for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Rule categories that force PENDING_APPROVAL rather than silent auto-correction.</w:t>
            </w:r>
          </w:p>
        </w:tc>
        <w:tc>
          <w:tcPr>
            <w:tcW w:type="dxa" w:w="19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Shared schema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SkillPackConfig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id (PK)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Identifies one sector’s concrete rule set (clinic_v1, restaurant_v1).</w:t>
            </w:r>
          </w:p>
        </w:tc>
        <w:tc>
          <w:tcPr>
            <w:tcW w:type="dxa" w:w="19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Sector-specific instance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SkillPackConfig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required_fields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Fields a booking must contain for this sector (e.g. practitioner vs. party_size).</w:t>
            </w:r>
          </w:p>
        </w:tc>
        <w:tc>
          <w:tcPr>
            <w:tcW w:type="dxa" w:w="19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Sector-specific values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SkillPackConfig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working_hours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When bookings are permitted at all, for this sector.</w:t>
            </w:r>
          </w:p>
        </w:tc>
        <w:tc>
          <w:tcPr>
            <w:tcW w:type="dxa" w:w="19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Sector-specific values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SkillPackConfig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slot_rules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How duration/capacity is computed — fixed slot length (clinic) vs. capacity-by-party-size (restaurant).</w:t>
            </w:r>
          </w:p>
        </w:tc>
        <w:tc>
          <w:tcPr>
            <w:tcW w:type="dxa" w:w="19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Sector-specific values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SkillPackConfig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confirmation_template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Message template rendered on a CONFIRMED decision.</w:t>
            </w:r>
          </w:p>
        </w:tc>
        <w:tc>
          <w:tcPr>
            <w:tcW w:type="dxa" w:w="19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Sector-specific values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Booking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id (PK)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Persisted booking identifier.</w:t>
            </w:r>
          </w:p>
        </w:tc>
        <w:tc>
          <w:tcPr>
            <w:tcW w:type="dxa" w:w="19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Shared schema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Booking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sector (FK)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Which sector this booking belongs to.</w:t>
            </w:r>
          </w:p>
        </w:tc>
        <w:tc>
          <w:tcPr>
            <w:tcW w:type="dxa" w:w="19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Shared schema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Booking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fields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Sector-specific booking data (practitioner+patient, or party_size+seating) as a flexible JSON blob — the schema stays fixed, the content varies per sector.</w:t>
            </w:r>
          </w:p>
        </w:tc>
        <w:tc>
          <w:tcPr>
            <w:tcW w:type="dxa" w:w="19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Shared schema, sector-specific content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Booking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start_time / duration_minutes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Interval the booking occupies — the shared representation both a fixed clinic slot and a flexible restaurant duration reduce to.</w:t>
            </w:r>
          </w:p>
        </w:tc>
        <w:tc>
          <w:tcPr>
            <w:tcW w:type="dxa" w:w="19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Shared schema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Booking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status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CONFIRMED or PENDING_APPROVAL at persistence time.</w:t>
            </w:r>
          </w:p>
        </w:tc>
        <w:tc>
          <w:tcPr>
            <w:tcW w:type="dxa" w:w="19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Shared schema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BookingRequest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raw_text / sector / fields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The structured request produced by intake, before a decision is made.</w:t>
            </w:r>
          </w:p>
        </w:tc>
        <w:tc>
          <w:tcPr>
            <w:tcW w:type="dxa" w:w="19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Shared schema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Decision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status / reason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The approval gate’s output — never a bare boolean.</w:t>
            </w:r>
          </w:p>
        </w:tc>
        <w:tc>
          <w:tcPr>
            <w:tcW w:type="dxa" w:w="19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Shared schema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AuditRecord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input, skill_pack_ref, intent, rules_evaluated, decision, approval_status, timestamp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One immutable record per processed request, regardless of outcome.</w:t>
            </w:r>
          </w:p>
        </w:tc>
        <w:tc>
          <w:tcPr>
            <w:tcW w:type="dxa" w:w="19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Shared schema</w:t>
            </w:r>
          </w:p>
        </w:tc>
      </w:tr>
    </w:tbl>
    <w:p>
      <w:pPr>
        <w:pStyle w:val="Heading1"/>
        <w:spacing w:after="80" w:before="200"/>
      </w:pPr>
      <w:r>
        <w:t xml:space="preserve">2. Relationships and cardinalities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200"/>
        <w:gridCol w:w="3480"/>
      </w:tblGrid>
      <w:tr>
        <w:trPr>
          <w:tblHeader/>
        </w:trPr>
        <w:tc>
          <w:tcPr>
            <w:tcW w:type="dxa" w:w="468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</w:rPr>
              <w:t xml:space="preserve">Relationship</w:t>
            </w:r>
          </w:p>
        </w:tc>
        <w:tc>
          <w:tcPr>
            <w:tcW w:type="dxa" w:w="12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</w:rPr>
              <w:t xml:space="preserve">Cardinality</w:t>
            </w:r>
          </w:p>
        </w:tc>
        <w:tc>
          <w:tcPr>
            <w:tcW w:type="dxa" w:w="348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SectorManifest — SkillPackConfig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1 : 1</w:t>
            </w:r>
          </w:p>
        </w:tc>
        <w:tc>
          <w:tcPr>
            <w:tcW w:type="dxa" w:w="34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Each sector declares exactly one skill pack it loads.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SkillPackConfig — Booking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1 : 0..*</w:t>
            </w:r>
          </w:p>
        </w:tc>
        <w:tc>
          <w:tcPr>
            <w:tcW w:type="dxa" w:w="34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A skill pack’s rules govern zero or more bookings in that sector.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SectorManifest — Booking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1 : 0..*</w:t>
            </w:r>
          </w:p>
        </w:tc>
        <w:tc>
          <w:tcPr>
            <w:tcW w:type="dxa" w:w="34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Every booking belongs to exactly one sector.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BookingRequest — Decision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1 : 1</w:t>
            </w:r>
          </w:p>
        </w:tc>
        <w:tc>
          <w:tcPr>
            <w:tcW w:type="dxa" w:w="34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Every request that reaches the gate produces exactly one decision.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BookingRequest — AuditRecord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1 : 1</w:t>
            </w:r>
          </w:p>
        </w:tc>
        <w:tc>
          <w:tcPr>
            <w:tcW w:type="dxa" w:w="34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Every processed request produces exactly one audit record (FR6, AC4) — regardless of decision outcome.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Booking — Booking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0..* : 0..*</w:t>
            </w:r>
          </w:p>
        </w:tc>
        <w:tc>
          <w:tcPr>
            <w:tcW w:type="dxa" w:w="34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Two bookings in the same sector/resource scope may conflict if their intervals overlap (FR7); this is a same-run check, not a stored relationship.</w:t>
            </w:r>
          </w:p>
        </w:tc>
      </w:tr>
    </w:tbl>
    <w:p>
      <w:pPr>
        <w:pStyle w:val="Heading1"/>
        <w:spacing w:after="80" w:before="200"/>
      </w:pPr>
      <w:r>
        <w:t xml:space="preserve">3. Entity relationship diagram</w:t>
      </w:r>
    </w:p>
    <w:p>
      <w:pPr>
        <w:jc w:val="center"/>
      </w:pPr>
      <w:r>
        <w:drawing>
          <wp:inline distT="0" distB="0" distL="0" distR="0">
            <wp:extent cx="5905500" cy="718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16"/>
          <w:szCs w:val="16"/>
        </w:rPr>
        <w:t xml:space="preserve">Source: erd.mmd</w:t>
      </w:r>
    </w:p>
    <w:p>
      <w:pPr>
        <w:pStyle w:val="Heading1"/>
        <w:spacing w:after="80" w:before="200"/>
      </w:pPr>
      <w:r>
        <w:t xml:space="preserve">4. Shared core vs. sector-specific, and how a new sector extends the model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Shared, fixed schema — </w:t>
      </w:r>
      <w:r>
        <w:t xml:space="preserve">SectorManifest, SkillPackConfig, Booking, BookingRequest, Decision, and AuditRecord all have identical structure for every sector. None of these tables/types gain new columns when a sector is added.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Sector-specific, in data only — </w:t>
      </w:r>
      <w:r>
        <w:t xml:space="preserve">a sector’s actual required_fields, working_hours, slot_rules, and confirmation_template live as values inside one SkillPackConfig row/config file, and a booking’s fields JSON blob carries whatever keys that skill pack declares.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Extending to a third sector — </w:t>
      </w:r>
      <w:r>
        <w:t xml:space="preserve">add one new SectorManifest entry, one new SkillPackConfig, and let Booking.fields carry that sector’s field names. No table gains a column, no core type changes shape — this is the same claim ARCHITECTURE.md’s extension-point map makes, expressed here as a data-model guarantee rather than a code guarantee.</w:t>
      </w:r>
    </w:p>
    <w:p>
      <w:pPr>
        <w:spacing w:after="120"/>
      </w:pPr>
      <w:r>
        <w:t xml:space="preserve">This is what makes FR1 (no sector-specific branching in the core) hold at the persistence layer too, not just in the orchestration code: the core never needs a schema migration to support a new sector, only a new configuration row.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18ff64fd5288bd6e0a4e370ea7e27abb58afd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2026-08-04T13:01:47.922Z</dcterms:created>
  <dcterms:modified xsi:type="dcterms:W3CDTF">2026-08-04T13:01:47.941Z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