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RetailTec</w:t>
      </w:r>
      <w:r>
        <w:t xml:space="preserve"> </w:t>
      </w:r>
      <w:r>
        <w:t xml:space="preserve">Analytics</w:t>
      </w:r>
      <w:r>
        <w:t xml:space="preserve"> </w:t>
      </w:r>
      <w:r>
        <w:t xml:space="preserve">—</w:t>
      </w:r>
      <w:r>
        <w:t xml:space="preserve"> </w:t>
      </w:r>
      <w:r>
        <w:t xml:space="preserve">Database,</w:t>
      </w:r>
      <w:r>
        <w:t xml:space="preserve"> </w:t>
      </w:r>
      <w:r>
        <w:t xml:space="preserve">Data</w:t>
      </w:r>
      <w:r>
        <w:t xml:space="preserve"> </w:t>
      </w:r>
      <w:r>
        <w:t xml:space="preserve">Warehouse</w:t>
      </w:r>
      <w:r>
        <w:t xml:space="preserve"> </w:t>
      </w:r>
      <w:r>
        <w:t xml:space="preserve">&amp;</w:t>
      </w:r>
      <w:r>
        <w:t xml:space="preserve"> </w:t>
      </w:r>
      <w:r>
        <w:t xml:space="preserve">ERD</w:t>
      </w:r>
    </w:p>
    <w:p>
      <w:pPr>
        <w:pStyle w:val="Subtitle"/>
      </w:pPr>
      <w:r>
        <w:t xml:space="preserve">Volume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Handover</w:t>
      </w:r>
      <w:r>
        <w:t xml:space="preserve"> </w:t>
      </w:r>
      <w:r>
        <w:t xml:space="preserve">Documentation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App</w:t>
      </w:r>
      <w:r>
        <w:t xml:space="preserve"> </w:t>
      </w:r>
      <w:r>
        <w:t xml:space="preserve">version</w:t>
      </w:r>
      <w:r>
        <w:t xml:space="preserve"> </w:t>
      </w:r>
      <w:r>
        <w:t xml:space="preserve">3.1.0</w:t>
      </w:r>
      <w:r>
        <w:t xml:space="preserve"> </w:t>
      </w:r>
      <w:r>
        <w:t xml:space="preserve">·</w:t>
      </w:r>
      <w:r>
        <w:t xml:space="preserve"> </w:t>
      </w:r>
      <w:r>
        <w:t xml:space="preserve">Warehouse</w:t>
      </w:r>
      <w:r>
        <w:t xml:space="preserve"> </w:t>
      </w:r>
      <w:r>
        <w:t xml:space="preserve">schema</w:t>
      </w:r>
      <w:r>
        <w:t xml:space="preserve"> </w:t>
      </w:r>
      <w:r>
        <w:t xml:space="preserve">v8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rchitecture-at-a-glance"/>
    <w:p>
      <w:pPr>
        <w:pStyle w:val="Heading1"/>
      </w:pPr>
      <w:r>
        <w:t xml:space="preserve">1. Architecture at a Glance</w:t>
      </w:r>
    </w:p>
    <w:p>
      <w:pPr>
        <w:pStyle w:val="FirstParagraph"/>
      </w:pPr>
      <w:r>
        <w:t xml:space="preserve">RetailTec Analytics is a</w:t>
      </w:r>
      <w:r>
        <w:t xml:space="preserve"> </w:t>
      </w:r>
      <w:r>
        <w:rPr>
          <w:bCs/>
          <w:b/>
        </w:rPr>
        <w:t xml:space="preserve">two-database system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12c+ (</w:t>
            </w:r>
            <w:r>
              <w:rPr>
                <w:rStyle w:val="VerbatimChar"/>
              </w:rPr>
              <w:t xml:space="preserve">RPS</w:t>
            </w:r>
            <w:r>
              <w:t xml:space="preserve"> </w:t>
            </w:r>
            <w:r>
              <w:t xml:space="preserve">schema)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 Retail Pro Prism database. Read-only for Analytics — the app never writes to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 (single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 star-schema copy optimized for analytics. All dashboards and reports read ONLY from this file.</w:t>
            </w:r>
          </w:p>
        </w:tc>
      </w:tr>
    </w:tbl>
    <w:p>
      <w:pPr>
        <w:pStyle w:val="BodyText"/>
      </w:pPr>
      <w:r>
        <w:t xml:space="preserve">The sync engine (</w:t>
      </w:r>
      <w:r>
        <w:rPr>
          <w:rStyle w:val="VerbatimChar"/>
        </w:rPr>
        <w:t xml:space="preserve">backend/db/sync.py</w:t>
      </w:r>
      <w:r>
        <w:t xml:space="preserve">) extracts from Oracle over the network, transforms in-flight, and loads into DuckDB. Users never wait on Oracle: every screen is served from the local warehouse in milliseconds.</w:t>
      </w:r>
    </w:p>
    <w:p>
      <w:pPr>
        <w:pStyle w:val="BodyText"/>
      </w:pPr>
      <w:r>
        <w:rPr>
          <w:bCs/>
          <w:b/>
        </w:rPr>
        <w:t xml:space="preserve">Warehouse file location:</w:t>
      </w:r>
      <w:r>
        <w:t xml:space="preserve"> </w:t>
      </w:r>
      <w:r>
        <w:t xml:space="preserve">one file</w:t>
      </w:r>
      <w:r>
        <w:t xml:space="preserve"> </w:t>
      </w:r>
      <w:r>
        <w:rPr>
          <w:bCs/>
          <w:b/>
        </w:rPr>
        <w:t xml:space="preserve">per Oracle server</w:t>
      </w:r>
      <w:r>
        <w:t xml:space="preserve">, named</w:t>
      </w:r>
      <w:r>
        <w:t xml:space="preserve"> </w:t>
      </w:r>
      <w:r>
        <w:rPr>
          <w:rStyle w:val="VerbatimChar"/>
        </w:rPr>
        <w:t xml:space="preserve">retailtec_&lt;host with dots as underscores&gt;.db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retailtec_10_0_0_5.db</w:t>
      </w:r>
      <w:r>
        <w:t xml:space="preserve">), stored next to the app state (in the packaged install:</w:t>
      </w:r>
      <w:r>
        <w:t xml:space="preserve"> </w:t>
      </w:r>
      <w:r>
        <w:rPr>
          <w:rStyle w:val="VerbatimChar"/>
        </w:rPr>
        <w:t xml:space="preserve">&lt;install dir&gt;\_internal\</w:t>
      </w:r>
      <w:r>
        <w:t xml:space="preserve">). Switching the connection host in Settings switches the active warehouse file, so multiple customers/servers never mix data.</w:t>
      </w:r>
    </w:p>
    <w:bookmarkEnd w:id="20"/>
    <w:bookmarkStart w:id="24" w:name="the-oracle-source-rps-schema"/>
    <w:p>
      <w:pPr>
        <w:pStyle w:val="Heading1"/>
      </w:pPr>
      <w:r>
        <w:t xml:space="preserve">2. The Oracle Source (RPS schema)</w:t>
      </w:r>
    </w:p>
    <w:bookmarkStart w:id="21" w:name="tables-read-per-domain"/>
    <w:p>
      <w:pPr>
        <w:pStyle w:val="Heading2"/>
      </w:pPr>
      <w:r>
        <w:t xml:space="preserve">2.1 Tables read, per domain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RPS.DOCUMENT_ITEM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RPS.TENDER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Headers, item lines, and payment lines of POS receipts.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(on-hand)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RPS.INVN_SBS_ITEM_QTY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RPS.INVN_SBS_ITEM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RPS.INVN_SBS_PRICE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RPS.PRICE_LEVEL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quantities, cost, and price level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RPS.INVENTORY_HISTORY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Trigger-log of quantity changes (a Prism customization — the app detects its presence).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RPS.VOUCHER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RPS.VOU_ITEM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 vouchers and their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RPS.SLIP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RPS.SLIP_ITEM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RPS.VOUCHER</w:t>
            </w:r>
            <w:r>
              <w:t xml:space="preserve"> </w:t>
            </w:r>
            <w:r>
              <w:t xml:space="preserve">for the reversing voucher 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slips between stores.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RPS.ADJUSTMENT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RPS.ADJ_ITEM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Memo/quantity adjustments; controller supplies a fallback store.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RPS.SUBSIDIARY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RPS.CUSTOMER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RPS.CUSTOMER_PHONE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RPS.INVN_SBS_ITEM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RPS.DCS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 mirrored into DIM_* 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(virtual GL)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RPS.DOCUMENT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RPS.DOCUMENT_ITEM</w:t>
            </w:r>
            <w:r>
              <w:t xml:space="preserve"> </w:t>
            </w:r>
            <w:r>
              <w:rPr>
                <w:bCs/>
                <w:b/>
              </w:rPr>
              <w:t xml:space="preserve">of subsidiary 100</w:t>
            </w:r>
            <w:r>
              <w:t xml:space="preserve"> </w:t>
            </w:r>
            <w:r>
              <w:t xml:space="preserve">+ the Prism</w:t>
            </w:r>
            <w:r>
              <w:t xml:space="preserve"> </w:t>
            </w:r>
            <w:r>
              <w:rPr>
                <w:iCs/>
                <w:i/>
              </w:rPr>
              <w:t xml:space="preserve">touch-menu</w:t>
            </w:r>
            <w:r>
              <w:t xml:space="preserve"> </w:t>
            </w:r>
            <w:r>
              <w:t xml:space="preserve">tables (for the account classification tree) +</w:t>
            </w:r>
            <w:r>
              <w:t xml:space="preserve"> </w:t>
            </w:r>
            <w:r>
              <w:rPr>
                <w:rStyle w:val="VerbatimChar"/>
              </w:rPr>
              <w:t xml:space="preserve">RPS.INVN_SBS_ITEM</w:t>
            </w:r>
            <w:r>
              <w:t xml:space="preserve"> </w:t>
            </w:r>
            <w:r>
              <w:t xml:space="preserve">(chart of accounts)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Volume 5 for the full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RPS.TENDER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RPS.TENDER_CREDIT_CARD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TENDER_CREDIT_CARD</w:t>
            </w:r>
            <w:r>
              <w:t xml:space="preserve"> </w:t>
            </w:r>
            <w:r>
              <w:t xml:space="preserve">joins 1:1 by</w:t>
            </w:r>
            <w:r>
              <w:t xml:space="preserve"> </w:t>
            </w:r>
            <w:r>
              <w:rPr>
                <w:rStyle w:val="VerbatimChar"/>
              </w:rPr>
              <w:t xml:space="preserve">TENDER_SID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CARD_TYPE_NAME</w:t>
            </w:r>
            <w:r>
              <w:t xml:space="preserve"> </w:t>
            </w:r>
            <w:r>
              <w:t xml:space="preserve">carries the real card brand.</w:t>
            </w:r>
          </w:p>
        </w:tc>
      </w:tr>
    </w:tbl>
    <w:bookmarkEnd w:id="21"/>
    <w:bookmarkStart w:id="22" w:name="source-facts-every-developer-must-know"/>
    <w:p>
      <w:pPr>
        <w:pStyle w:val="Heading2"/>
      </w:pPr>
      <w:r>
        <w:t xml:space="preserve">2.2 Source facts every developer must know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STATUS = 4</w:t>
      </w:r>
      <w:r>
        <w:rPr>
          <w:bCs/>
          <w:b/>
        </w:rPr>
        <w:t xml:space="preserve"> </w:t>
      </w:r>
      <w:r>
        <w:rPr>
          <w:bCs/>
          <w:b/>
        </w:rPr>
        <w:t xml:space="preserve">means posted/closed — and closed documents are IMMUTABLE.</w:t>
      </w:r>
      <w:r>
        <w:t xml:space="preserve"> </w:t>
      </w:r>
      <w:r>
        <w:t xml:space="preserve">In Prism a closed document of any type can never be voided or reopened; corrections always create a NEW opposite document (a return is its own document). The posted fact stream is therefore append-only at source. This is the foundation of the warehouse’s insert-only load model.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 deletes exist only as DBA actions on subsidiary 100</w:t>
      </w:r>
      <w:r>
        <w:t xml:space="preserve"> </w:t>
      </w:r>
      <w:r>
        <w:t xml:space="preserve">(the accounting customization’s custom-GL documents). They cannot happen in production for normal transactions. Consequently only</w:t>
      </w:r>
      <w:r>
        <w:t xml:space="preserve"> </w:t>
      </w:r>
      <w:r>
        <w:rPr>
          <w:rStyle w:val="VerbatimChar"/>
        </w:rPr>
        <w:t xml:space="preserve">FACT_GL</w:t>
      </w:r>
      <w:r>
        <w:t xml:space="preserve"> </w:t>
      </w:r>
      <w:r>
        <w:t xml:space="preserve">needs replace-semantics; every other fact is safe with insert-only loads.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RPS text columns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NVARCHAR2</w:t>
      </w:r>
      <w:r>
        <w:rPr>
          <w:bCs/>
          <w:b/>
        </w:rPr>
        <w:t xml:space="preserve">.</w:t>
      </w:r>
      <w:r>
        <w:t xml:space="preserve"> </w:t>
      </w:r>
      <w:r>
        <w:t xml:space="preserve">Mixing charsets inside a recursive CTE / CASE / UNION raises</w:t>
      </w:r>
      <w:r>
        <w:t xml:space="preserve"> </w:t>
      </w:r>
      <w:r>
        <w:rPr>
          <w:rStyle w:val="VerbatimChar"/>
        </w:rPr>
        <w:t xml:space="preserve">ORA-12704 (character set mismatch)</w:t>
      </w:r>
      <w:r>
        <w:t xml:space="preserve">. Every accounting query wraps literals with</w:t>
      </w:r>
      <w:r>
        <w:t xml:space="preserve"> </w:t>
      </w:r>
      <w:r>
        <w:rPr>
          <w:rStyle w:val="VerbatimChar"/>
        </w:rPr>
        <w:t xml:space="preserve">TO_NCHAR(...)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N'...'</w:t>
      </w:r>
      <w:r>
        <w:t xml:space="preserve"> </w:t>
      </w:r>
      <w:r>
        <w:t xml:space="preserve">and anchors recursive CTEs with an</w:t>
      </w:r>
      <w:r>
        <w:t xml:space="preserve"> </w:t>
      </w:r>
      <w:r>
        <w:rPr>
          <w:rStyle w:val="VerbatimChar"/>
        </w:rPr>
        <w:t xml:space="preserve">NVARCHAR2</w:t>
      </w:r>
      <w:r>
        <w:t xml:space="preserve"> </w:t>
      </w:r>
      <w:r>
        <w:t xml:space="preserve">cast. Any new SQL against RPS must follow the same rule.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TENDER_TYPE</w:t>
      </w:r>
      <w:r>
        <w:rPr>
          <w:bCs/>
          <w:b/>
        </w:rPr>
        <w:t xml:space="preserve"> </w:t>
      </w:r>
      <w:r>
        <w:rPr>
          <w:bCs/>
          <w:b/>
        </w:rPr>
        <w:t xml:space="preserve">enum</w:t>
      </w:r>
      <w:r>
        <w:t xml:space="preserve"> </w:t>
      </w:r>
      <w:r>
        <w:t xml:space="preserve">(from the DB column comment): 0 Cash, 1 Check, 2 Credit Card, 3 COD, 4 Charge, 5 Store Credit, 6 Split, 7 Deposit, 8 Payments, … 15 Central Gift Card, 17 Central Customer Credit, 18 Loyalty. Values 0–32 are reserved by Retail Pro; this installation uses</w:t>
      </w:r>
      <w:r>
        <w:t xml:space="preserve"> </w:t>
      </w:r>
      <w:r>
        <w:rPr>
          <w:bCs/>
          <w:b/>
        </w:rPr>
        <w:t xml:space="preserve">19–28 as Custom Tenders 1–10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Function-based date indexes</w:t>
      </w:r>
      <w:r>
        <w:t xml:space="preserve"> </w:t>
      </w:r>
      <w:r>
        <w:t xml:space="preserve">exist on the big tables (</w:t>
      </w:r>
      <w:r>
        <w:rPr>
          <w:rStyle w:val="VerbatimChar"/>
        </w:rPr>
        <w:t xml:space="preserve">IDX_DOCUMENT7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CAST(INVC_POST_DATE AS 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IDX_CREATEDDATE_VOU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IDX_CREATEDDATE_SLIP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IDXADJUSTMENT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IDX_INV_HIST_DATE</w:t>
      </w:r>
      <w:r>
        <w:t xml:space="preserve"> </w:t>
      </w:r>
      <w:r>
        <w:t xml:space="preserve">— the latter four on</w:t>
      </w:r>
      <w:r>
        <w:t xml:space="preserve"> </w:t>
      </w:r>
      <w:r>
        <w:rPr>
          <w:rStyle w:val="VerbatimChar"/>
        </w:rPr>
        <w:t xml:space="preserve">SYS_EXTRACT_UTC(created)</w:t>
      </w:r>
      <w:r>
        <w:t xml:space="preserve">). The extraction SQL is written to</w:t>
      </w:r>
      <w:r>
        <w:t xml:space="preserve"> </w:t>
      </w:r>
      <w:r>
        <w:rPr>
          <w:iCs/>
          <w:i/>
        </w:rPr>
        <w:t xml:space="preserve">match these expressions exactly</w:t>
      </w:r>
      <w:r>
        <w:t xml:space="preserve"> </w:t>
      </w:r>
      <w:r>
        <w:t xml:space="preserve">so Oracle uses an index range scan (0.1 s) instead of a full scan of millions of rows. The UTC-based predicates are widened by ±1 day for timezone skew and paired with a plain local-time predicate that filters exactly.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Index vs full-scan strategy:</w:t>
      </w:r>
      <w:r>
        <w:t xml:space="preserve"> </w:t>
      </w:r>
      <w:r>
        <w:t xml:space="preserve">windows ≤ 92 days get an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hint; wider windows (historical backfills) get</w:t>
      </w:r>
      <w:r>
        <w:t xml:space="preserve"> </w:t>
      </w:r>
      <w:r>
        <w:rPr>
          <w:rStyle w:val="VerbatimChar"/>
        </w:rPr>
        <w:t xml:space="preserve">FULL(H)</w:t>
      </w:r>
      <w:r>
        <w:t xml:space="preserve"> </w:t>
      </w:r>
      <w:r>
        <w:t xml:space="preserve">— one sequential scan beats hundreds of thousands of scattered ROWID lookups over a WAN. Constant:</w:t>
      </w:r>
      <w:r>
        <w:t xml:space="preserve"> </w:t>
      </w:r>
      <w:r>
        <w:rPr>
          <w:rStyle w:val="VerbatimChar"/>
        </w:rPr>
        <w:t xml:space="preserve">_INDEX_WINDOW_DAYS = 92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sync.py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Scale (production reference):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≈ 2.4M rows,</w:t>
      </w:r>
      <w:r>
        <w:t xml:space="preserve"> </w:t>
      </w:r>
      <w:r>
        <w:rPr>
          <w:rStyle w:val="VerbatimChar"/>
        </w:rPr>
        <w:t xml:space="preserve">DOCUMENT_ITEM</w:t>
      </w:r>
      <w:r>
        <w:t xml:space="preserve"> </w:t>
      </w:r>
      <w:r>
        <w:t xml:space="preserve">≈ 5.0M,</w:t>
      </w:r>
      <w:r>
        <w:t xml:space="preserve"> </w:t>
      </w:r>
      <w:r>
        <w:rPr>
          <w:rStyle w:val="VerbatimChar"/>
        </w:rPr>
        <w:t xml:space="preserve">VOU_ITEM</w:t>
      </w:r>
      <w:r>
        <w:t xml:space="preserve"> </w:t>
      </w:r>
      <w:r>
        <w:t xml:space="preserve">≈ 4.6M,</w:t>
      </w:r>
      <w:r>
        <w:t xml:space="preserve"> </w:t>
      </w:r>
      <w:r>
        <w:rPr>
          <w:rStyle w:val="VerbatimChar"/>
        </w:rPr>
        <w:t xml:space="preserve">SLIP_ITEM</w:t>
      </w:r>
      <w:r>
        <w:t xml:space="preserve"> </w:t>
      </w:r>
      <w:r>
        <w:t xml:space="preserve">≈ 4.3M,</w:t>
      </w:r>
      <w:r>
        <w:t xml:space="preserve"> </w:t>
      </w:r>
      <w:r>
        <w:rPr>
          <w:rStyle w:val="VerbatimChar"/>
        </w:rPr>
        <w:t xml:space="preserve">INVENTORY_HISTORY</w:t>
      </w:r>
      <w:r>
        <w:t xml:space="preserve"> </w:t>
      </w:r>
      <w:r>
        <w:t xml:space="preserve">≈ 3.1M — roughly 19M fact rows over six years.</w:t>
      </w:r>
    </w:p>
    <w:bookmarkEnd w:id="22"/>
    <w:bookmarkStart w:id="23" w:name="watermark-columns-incremental-sync-keys"/>
    <w:p>
      <w:pPr>
        <w:pStyle w:val="Heading2"/>
      </w:pPr>
      <w:r>
        <w:t xml:space="preserve">2.3 Watermark columns (incremental sync keys)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DOCUMENT.INVC_POST_DATE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posting date; indexed; designed watermark.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VOUCHER.CREATED_DATETIME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posting timestamp exists on vouchers.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SLIP.CREATED_DATETIME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ADJUSTMENT.CREATED_DATETIME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INVENTORY_HISTORY.ACTION_DATE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trigger stamp.</w:t>
            </w:r>
          </w:p>
        </w:tc>
      </w:tr>
    </w:tbl>
    <w:p>
      <w:pPr>
        <w:pStyle w:val="BodyText"/>
      </w:pPr>
      <w:r>
        <w:rPr>
          <w:bCs/>
          <w:b/>
        </w:rPr>
        <w:t xml:space="preserve">Never watermark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MODIFIED_DATETIME</w:t>
      </w:r>
      <w:r>
        <w:rPr>
          <w:bCs/>
          <w:b/>
        </w:rPr>
        <w:t xml:space="preserve">:</w:t>
      </w:r>
      <w:r>
        <w:t xml:space="preserve"> </w:t>
      </w:r>
      <w:r>
        <w:t xml:space="preserve">closed documents are immutable</w:t>
      </w:r>
      <w:r>
        <w:t xml:space="preserve"> </w:t>
      </w:r>
      <w:r>
        <w:rPr>
          <w:iCs/>
          <w:i/>
        </w:rPr>
        <w:t xml:space="preserve">except their notes</w:t>
      </w:r>
      <w:r>
        <w:t xml:space="preserve">, and a note edit bumps</w:t>
      </w:r>
      <w:r>
        <w:t xml:space="preserve"> </w:t>
      </w:r>
      <w:r>
        <w:rPr>
          <w:rStyle w:val="VerbatimChar"/>
        </w:rPr>
        <w:t xml:space="preserve">MODIFIED_DATETIME</w:t>
      </w:r>
      <w:r>
        <w:t xml:space="preserve">, which would needlessly re-pull years-old documents.</w:t>
      </w:r>
    </w:p>
    <w:bookmarkEnd w:id="23"/>
    <w:bookmarkEnd w:id="24"/>
    <w:bookmarkStart w:id="49" w:name="the-duckdb-warehouse"/>
    <w:p>
      <w:pPr>
        <w:pStyle w:val="Heading1"/>
      </w:pPr>
      <w:r>
        <w:t xml:space="preserve">3. The DuckDB Warehouse</w:t>
      </w:r>
    </w:p>
    <w:p>
      <w:pPr>
        <w:pStyle w:val="FirstParagraph"/>
      </w:pPr>
      <w:r>
        <w:t xml:space="preserve">Schema version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backend/db/model.py</w:t>
      </w:r>
      <w:r>
        <w:t xml:space="preserve">; the app migrates older files automatically with additive</w:t>
      </w:r>
      <w:r>
        <w:t xml:space="preserve"> </w:t>
      </w:r>
      <w:r>
        <w:rPr>
          <w:rStyle w:val="VerbatimChar"/>
        </w:rPr>
        <w:t xml:space="preserve">ALTER TABLE IF NOT EXISTS</w:t>
      </w:r>
      <w:r>
        <w:t xml:space="preserve"> </w:t>
      </w:r>
      <w:r>
        <w:t xml:space="preserve">statements). ~29 tables in three groups: 9 dimensions, 11 facts, 9 ETL/control tables. Relationships are</w:t>
      </w:r>
      <w:r>
        <w:t xml:space="preserve"> </w:t>
      </w:r>
      <w:r>
        <w:rPr>
          <w:bCs/>
          <w:b/>
        </w:rPr>
        <w:t xml:space="preserve">implicit</w:t>
      </w:r>
      <w:r>
        <w:t xml:space="preserve"> </w:t>
      </w:r>
      <w:r>
        <w:t xml:space="preserve">(no FK constraints — joins are by convention, documented in §4).</w:t>
      </w:r>
    </w:p>
    <w:bookmarkStart w:id="34" w:name="dimensions"/>
    <w:p>
      <w:pPr>
        <w:pStyle w:val="Heading2"/>
      </w:pPr>
      <w:r>
        <w:t xml:space="preserve">3.1 Dimensions</w:t>
      </w:r>
    </w:p>
    <w:bookmarkStart w:id="25" w:name="dim_date"/>
    <w:p>
      <w:pPr>
        <w:pStyle w:val="Heading3"/>
      </w:pPr>
      <w:r>
        <w:t xml:space="preserve">DIM_DATE</w:t>
      </w:r>
    </w:p>
    <w:p>
      <w:pPr>
        <w:pStyle w:val="FirstParagraph"/>
      </w:pPr>
      <w:r>
        <w:t xml:space="preserve">Calendar spine, pre-populated.</w:t>
      </w:r>
      <w:r>
        <w:t xml:space="preserve"> </w:t>
      </w:r>
      <w:r>
        <w:rPr>
          <w:rStyle w:val="VerbatimChar"/>
        </w:rPr>
        <w:t xml:space="preserve">DATE_KEY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DAY_OF_MONTH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 </w:t>
      </w:r>
      <w:r>
        <w:t xml:space="preserve">(0=Monday…6=Sunday),</w:t>
      </w:r>
      <w:r>
        <w:t xml:space="preserve"> </w:t>
      </w:r>
      <w:r>
        <w:rPr>
          <w:rStyle w:val="VerbatimChar"/>
        </w:rPr>
        <w:t xml:space="preserve">DAY_NAME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IS_WEEKEND</w:t>
      </w:r>
      <w:r>
        <w:t xml:space="preserve">.</w:t>
      </w:r>
    </w:p>
    <w:bookmarkEnd w:id="25"/>
    <w:bookmarkStart w:id="26" w:name="dim_store"/>
    <w:p>
      <w:pPr>
        <w:pStyle w:val="Heading3"/>
      </w:pPr>
      <w:r>
        <w:t xml:space="preserve">DIM_STORE</w:t>
      </w:r>
    </w:p>
    <w:p>
      <w:pPr>
        <w:pStyle w:val="FirstParagraph"/>
      </w:pP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STORE_NAME</w:t>
      </w:r>
      <w:r>
        <w:t xml:space="preserve">.</w:t>
      </w:r>
    </w:p>
    <w:bookmarkEnd w:id="26"/>
    <w:bookmarkStart w:id="27" w:name="dim_subsidiary"/>
    <w:p>
      <w:pPr>
        <w:pStyle w:val="Heading3"/>
      </w:pPr>
      <w:r>
        <w:t xml:space="preserve">DIM_SUBSIDIARY</w:t>
      </w:r>
    </w:p>
    <w:p>
      <w:pPr>
        <w:pStyle w:val="FirstParagraph"/>
      </w:pP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SBS_NO</w:t>
      </w:r>
      <w:r>
        <w:t xml:space="preserve">,</w:t>
      </w:r>
      <w:r>
        <w:t xml:space="preserve"> </w:t>
      </w:r>
      <w:r>
        <w:rPr>
          <w:rStyle w:val="VerbatimChar"/>
        </w:rPr>
        <w:t xml:space="preserve">SBS_NAME</w:t>
      </w:r>
      <w:r>
        <w:t xml:space="preserve">. Subsidiary 100 (the virtual GL) is</w:t>
      </w:r>
      <w:r>
        <w:t xml:space="preserve"> </w:t>
      </w:r>
      <w:r>
        <w:rPr>
          <w:bCs/>
          <w:b/>
        </w:rPr>
        <w:t xml:space="preserve">quarantined from every non-accounting extract and screen</w:t>
      </w:r>
      <w:r>
        <w:t xml:space="preserve"> </w:t>
      </w:r>
      <w:r>
        <w:t xml:space="preserve">and never counts toward the licensed subsidiary limit.</w:t>
      </w:r>
    </w:p>
    <w:bookmarkEnd w:id="27"/>
    <w:bookmarkStart w:id="28" w:name="dim_employee"/>
    <w:p>
      <w:pPr>
        <w:pStyle w:val="Heading3"/>
      </w:pPr>
      <w:r>
        <w:t xml:space="preserve">DIM_EMPLOYEE</w:t>
      </w:r>
    </w:p>
    <w:p>
      <w:pPr>
        <w:pStyle w:val="FirstParagraph"/>
      </w:pP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.</w:t>
      </w:r>
    </w:p>
    <w:bookmarkEnd w:id="28"/>
    <w:bookmarkStart w:id="29" w:name="dim_customer"/>
    <w:p>
      <w:pPr>
        <w:pStyle w:val="Heading3"/>
      </w:pPr>
      <w:r>
        <w:t xml:space="preserve">DIM_CUSTOMER</w:t>
      </w:r>
    </w:p>
    <w:p>
      <w:pPr>
        <w:pStyle w:val="FirstParagraph"/>
      </w:pP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CUST_ID</w:t>
      </w:r>
      <w:r>
        <w:t xml:space="preserve"> </w:t>
      </w:r>
      <w:r>
        <w:t xml:space="preserve">(human-facing customer number; display/search only),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(primary phone via</w:t>
      </w:r>
      <w:r>
        <w:t xml:space="preserve"> </w:t>
      </w:r>
      <w:r>
        <w:rPr>
          <w:rStyle w:val="VerbatimChar"/>
        </w:rPr>
        <w:t xml:space="preserve">CUSTOMER_PHONE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PRIMARY_FLAG DESC, SEQ_NO, SID</w:t>
      </w:r>
      <w:r>
        <w:t xml:space="preserve"> </w:t>
      </w:r>
      <w:r>
        <w:t xml:space="preserve">pick). Loaded windowed: customers appearing on documents in the loaded range.</w:t>
      </w:r>
    </w:p>
    <w:bookmarkEnd w:id="29"/>
    <w:bookmarkStart w:id="30" w:name="dim_item"/>
    <w:p>
      <w:pPr>
        <w:pStyle w:val="Heading3"/>
      </w:pPr>
      <w:r>
        <w:t xml:space="preserve">DIM_ITEM</w:t>
      </w:r>
    </w:p>
    <w:p>
      <w:pPr>
        <w:pStyle w:val="FirstParagraph"/>
      </w:pP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SBS_SID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ALU</w:t>
      </w:r>
      <w:r>
        <w:t xml:space="preserve">,</w:t>
      </w:r>
      <w:r>
        <w:t xml:space="preserve"> </w:t>
      </w:r>
      <w:r>
        <w:rPr>
          <w:rStyle w:val="VerbatimChar"/>
        </w:rPr>
        <w:t xml:space="preserve">UPC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DESCRIPTION1/2/3/4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DCS_SID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TEXT1–TEXT10</w:t>
      </w:r>
      <w:r>
        <w:t xml:space="preserve">,</w:t>
      </w:r>
      <w:r>
        <w:t xml:space="preserve"> </w:t>
      </w:r>
      <w:r>
        <w:rPr>
          <w:rStyle w:val="VerbatimChar"/>
        </w:rPr>
        <w:t xml:space="preserve">UDF1–UDF5_STRING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PRICE_LVL1/2/3</w:t>
      </w:r>
      <w:r>
        <w:t xml:space="preserve">.</w:t>
      </w:r>
      <w:r>
        <w:t xml:space="preserve"> </w:t>
      </w:r>
      <w:r>
        <w:rPr>
          <w:bCs/>
          <w:b/>
        </w:rPr>
        <w:t xml:space="preserve">Fully refreshed every sync</w:t>
      </w:r>
      <w:r>
        <w:t xml:space="preserve"> </w:t>
      </w:r>
      <w:r>
        <w:t xml:space="preserve">(windowed loading once left fact-referenced items missing →</w:t>
      </w:r>
      <w:r>
        <w:t xml:space="preserve"> </w:t>
      </w:r>
      <w:r>
        <w:t xml:space="preserve">“</w:t>
      </w:r>
      <w:r>
        <w:t xml:space="preserve">(unknown item)</w:t>
      </w:r>
      <w:r>
        <w:t xml:space="preserve">”</w:t>
      </w:r>
      <w:r>
        <w:t xml:space="preserve">). The optional columns feed the configurable grid columns feature (server-side whitelist</w:t>
      </w:r>
      <w:r>
        <w:t xml:space="preserve"> </w:t>
      </w:r>
      <w:r>
        <w:rPr>
          <w:rStyle w:val="VerbatimChar"/>
        </w:rPr>
        <w:t xml:space="preserve">ITEM_EXTRA_FIELDS</w:t>
      </w:r>
      <w:r>
        <w:t xml:space="preserve">).</w:t>
      </w:r>
    </w:p>
    <w:bookmarkEnd w:id="30"/>
    <w:bookmarkStart w:id="31" w:name="dim_dcs"/>
    <w:p>
      <w:pPr>
        <w:pStyle w:val="Heading3"/>
      </w:pPr>
      <w:r>
        <w:t xml:space="preserve">DIM_DCS</w:t>
      </w:r>
    </w:p>
    <w:p>
      <w:pPr>
        <w:pStyle w:val="FirstParagraph"/>
      </w:pPr>
      <w:r>
        <w:t xml:space="preserve">Department/Class/Subclass:</w:t>
      </w:r>
      <w:r>
        <w:t xml:space="preserve"> </w:t>
      </w: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SBS_SID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DCS_CODE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S_NAME</w:t>
      </w:r>
      <w:r>
        <w:t xml:space="preserve">.</w:t>
      </w:r>
    </w:p>
    <w:bookmarkEnd w:id="31"/>
    <w:bookmarkStart w:id="32" w:name="dim_vendor"/>
    <w:p>
      <w:pPr>
        <w:pStyle w:val="Heading3"/>
      </w:pPr>
      <w:r>
        <w:t xml:space="preserve">DIM_VENDOR</w:t>
      </w:r>
    </w:p>
    <w:p>
      <w:pPr>
        <w:pStyle w:val="FirstParagraph"/>
      </w:pP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SBS_SID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VEND_NAME</w:t>
      </w:r>
      <w:r>
        <w:t xml:space="preserve">.</w:t>
      </w:r>
    </w:p>
    <w:bookmarkEnd w:id="32"/>
    <w:bookmarkStart w:id="33" w:name="X5cbb0f347449151df294c9378b79523d2022bba"/>
    <w:p>
      <w:pPr>
        <w:pStyle w:val="Heading3"/>
      </w:pPr>
      <w:r>
        <w:t xml:space="preserve">DIM_ACCOUNT (chart of accounts — accounting only)</w:t>
      </w:r>
    </w:p>
    <w:p>
      <w:pPr>
        <w:pStyle w:val="FirstParagraph"/>
      </w:pPr>
      <w:r>
        <w:rPr>
          <w:rStyle w:val="VerbatimChar"/>
        </w:rPr>
        <w:t xml:space="preserve">SID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ACCOUNT_CODE</w:t>
      </w:r>
      <w:r>
        <w:t xml:space="preserve"> </w:t>
      </w:r>
      <w:r>
        <w:t xml:space="preserve">(= the item ALU),</w:t>
      </w:r>
      <w:r>
        <w:t xml:space="preserve"> </w:t>
      </w:r>
      <w:r>
        <w:rPr>
          <w:rStyle w:val="VerbatimChar"/>
        </w:rPr>
        <w:t xml:space="preserve">ACCOUNT_KEY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UDF5_STRING</w:t>
      </w:r>
      <w:r>
        <w:t xml:space="preserve">, the</w:t>
      </w:r>
      <w:r>
        <w:t xml:space="preserve"> </w:t>
      </w:r>
      <w:r>
        <w:rPr>
          <w:bCs/>
          <w:b/>
        </w:rPr>
        <w:t xml:space="preserve">stable logical key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NAME_EN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ACCOUNT_GROUP</w:t>
      </w:r>
      <w:r>
        <w:t xml:space="preserve"> </w:t>
      </w:r>
      <w:r>
        <w:t xml:space="preserve">(level-2 branch of the Prism accounting touch menu; NULL when the account hangs directly under a class),</w:t>
      </w:r>
      <w:r>
        <w:t xml:space="preserve"> </w:t>
      </w:r>
      <w:r>
        <w:rPr>
          <w:rStyle w:val="VerbatimChar"/>
        </w:rPr>
        <w:t xml:space="preserve">CLASS_SEQ</w:t>
      </w:r>
      <w:r>
        <w:t xml:space="preserve"> </w:t>
      </w:r>
      <w:r>
        <w:t xml:space="preserve">(level-1 branch order → statement section order),</w:t>
      </w:r>
      <w:r>
        <w:t xml:space="preserve"> </w:t>
      </w:r>
      <w:r>
        <w:rPr>
          <w:rStyle w:val="VerbatimChar"/>
        </w:rPr>
        <w:t xml:space="preserve">CLASS_SOURCE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'tree'</w:t>
      </w:r>
      <w:r>
        <w:t xml:space="preserve"> </w:t>
      </w:r>
      <w:r>
        <w:t xml:space="preserve">= classified in the Prism touch menu,</w:t>
      </w:r>
      <w:r>
        <w:t xml:space="preserve"> </w:t>
      </w:r>
      <w:r>
        <w:rPr>
          <w:rStyle w:val="VerbatimChar"/>
        </w:rPr>
        <w:t xml:space="preserve">'default'</w:t>
      </w:r>
      <w:r>
        <w:t xml:space="preserve"> </w:t>
      </w:r>
      <w:r>
        <w:t xml:space="preserve">= built-in integration default,</w:t>
      </w:r>
      <w:r>
        <w:t xml:space="preserve"> </w:t>
      </w:r>
      <w:r>
        <w:rPr>
          <w:rStyle w:val="VerbatimChar"/>
        </w:rPr>
        <w:t xml:space="preserve">'manual'</w:t>
      </w:r>
      <w:r>
        <w:t xml:space="preserve"> </w:t>
      </w:r>
      <w:r>
        <w:t xml:space="preserve">= carried over).</w:t>
      </w:r>
      <w:r>
        <w:t xml:space="preserve"> </w:t>
      </w:r>
      <w:r>
        <w:rPr>
          <w:rStyle w:val="VerbatimChar"/>
        </w:rPr>
        <w:t xml:space="preserve">ACCOUNT_CLASS</w:t>
      </w:r>
      <w:r>
        <w:t xml:space="preserve"> </w:t>
      </w:r>
      <w:r>
        <w:t xml:space="preserve">is deliberately</w:t>
      </w:r>
      <w:r>
        <w:t xml:space="preserve"> </w:t>
      </w:r>
      <w:r>
        <w:rPr>
          <w:bCs/>
          <w:b/>
        </w:rPr>
        <w:t xml:space="preserve">nullable and never inferred from the code range</w:t>
      </w:r>
      <w:r>
        <w:t xml:space="preserve"> </w:t>
      </w:r>
      <w:r>
        <w:t xml:space="preserve">— the COA mixes two numbering schemes, so classification comes only from the accountant’s tree.</w:t>
      </w:r>
    </w:p>
    <w:bookmarkEnd w:id="33"/>
    <w:bookmarkEnd w:id="34"/>
    <w:bookmarkStart w:id="46" w:name="facts"/>
    <w:p>
      <w:pPr>
        <w:pStyle w:val="Heading2"/>
      </w:pPr>
      <w:r>
        <w:t xml:space="preserve">3.2 Facts</w:t>
      </w:r>
    </w:p>
    <w:bookmarkStart w:id="35" w:name="X0b6b80bc39d8b342ee540d4f405ec7af0c7853a"/>
    <w:p>
      <w:pPr>
        <w:pStyle w:val="Heading3"/>
      </w:pPr>
      <w:r>
        <w:t xml:space="preserve">FACT_SALES_DAILY</w:t>
      </w:r>
      <w:r>
        <w:t xml:space="preserve"> </w:t>
      </w:r>
      <w:r>
        <w:rPr>
          <w:iCs/>
          <w:i/>
        </w:rPr>
        <w:t xml:space="preserve">(aggregate, replaced per window each sync)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(POST_DATE, STORE_SID, SUBSIDIARY_SID)</w:t>
      </w:r>
      <w:r>
        <w:t xml:space="preserve">.</w:t>
      </w:r>
      <w:r>
        <w:t xml:space="preserve"> </w:t>
      </w:r>
      <w:r>
        <w:rPr>
          <w:rStyle w:val="VerbatimChar"/>
        </w:rPr>
        <w:t xml:space="preserve">SALES_COUNT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NET_SALES_WOTAX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TOTAL_TAX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TOTAL_WTAX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GROSS_WOTAX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RETURN_UNITS</w:t>
      </w:r>
      <w:r>
        <w:t xml:space="preserve">. Rebuilt from FACT_SALES_INVOICES for the synced window — the one fact with replace semantics besides FACT_GL.</w:t>
      </w:r>
    </w:p>
    <w:bookmarkEnd w:id="35"/>
    <w:bookmarkStart w:id="36" w:name="fact_sales_invoices-insert-only"/>
    <w:p>
      <w:pPr>
        <w:pStyle w:val="Heading3"/>
      </w:pPr>
      <w:r>
        <w:t xml:space="preserve">FACT_SALES_INVOICES</w:t>
      </w:r>
      <w:r>
        <w:t xml:space="preserve"> </w:t>
      </w:r>
      <w:r>
        <w:rPr>
          <w:iCs/>
          <w:i/>
        </w:rPr>
        <w:t xml:space="preserve">(insert-only)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DOC_SID</w:t>
      </w:r>
      <w:r>
        <w:t xml:space="preserve">. Header-level:</w:t>
      </w:r>
      <w:r>
        <w:t xml:space="preserve"> </w:t>
      </w:r>
      <w:r>
        <w:rPr>
          <w:rStyle w:val="VerbatimChar"/>
        </w:rPr>
        <w:t xml:space="preserve">DOC_NO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INVC_POST_DATE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RECEIPT_TYPE</w:t>
      </w:r>
      <w:r>
        <w:t xml:space="preserve"> </w:t>
      </w:r>
      <w:r>
        <w:t xml:space="preserve">(0 sale / 1 return / 2 order),</w:t>
      </w:r>
      <w:r>
        <w:t xml:space="preserve"> </w:t>
      </w:r>
      <w:r>
        <w:rPr>
          <w:rStyle w:val="VerbatimChar"/>
        </w:rPr>
        <w:t xml:space="preserve">SUBSIDIARY_SID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EMPLOYEE1_SID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CASHIER_SID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BT_CUID</w:t>
      </w:r>
      <w:r>
        <w:t xml:space="preserve"> </w:t>
      </w:r>
      <w:r>
        <w:t xml:space="preserve">(customer), quantities (</w:t>
      </w:r>
      <w:r>
        <w:rPr>
          <w:rStyle w:val="VerbatimChar"/>
        </w:rPr>
        <w:t xml:space="preserve">SOLD_QTY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RETURN_QTY</w:t>
      </w:r>
      <w:r>
        <w:t xml:space="preserve">), money (</w:t>
      </w:r>
      <w:r>
        <w:rPr>
          <w:rStyle w:val="VerbatimChar"/>
        </w:rPr>
        <w:t xml:space="preserve">NET_SALES_WOTAX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TOTAL_TAX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TOTAL_WTAX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GROSS_WOTAX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RETURN_UNITS</w:t>
      </w:r>
      <w:r>
        <w:t xml:space="preserve">) and the tender split (</w:t>
      </w:r>
      <w:r>
        <w:rPr>
          <w:rStyle w:val="VerbatimChar"/>
        </w:rPr>
        <w:t xml:space="preserve">CASH_AMT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CARD_AMT</w:t>
      </w:r>
      <w:r>
        <w:t xml:space="preserve"> </w:t>
      </w:r>
      <w:r>
        <w:t xml:space="preserve">(types 2+11),</w:t>
      </w:r>
      <w:r>
        <w:t xml:space="preserve"> </w:t>
      </w:r>
      <w:r>
        <w:rPr>
          <w:rStyle w:val="VerbatimChar"/>
        </w:rPr>
        <w:t xml:space="preserve">DEPOSIT_AMT</w:t>
      </w:r>
      <w:r>
        <w:t xml:space="preserve"> </w:t>
      </w:r>
      <w:r>
        <w:t xml:space="preserve">(type 7),</w:t>
      </w:r>
      <w:r>
        <w:t xml:space="preserve"> </w:t>
      </w:r>
      <w:r>
        <w:rPr>
          <w:rStyle w:val="VerbatimChar"/>
        </w:rPr>
        <w:t xml:space="preserve">OTHER_AMT</w:t>
      </w:r>
      <w:r>
        <w:t xml:space="preserve">).</w:t>
      </w:r>
      <w:r>
        <w:t xml:space="preserve"> </w:t>
      </w:r>
      <w:r>
        <w:rPr>
          <w:rStyle w:val="VerbatimChar"/>
        </w:rPr>
        <w:t xml:space="preserve">NET_SALES_WOTAX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TOTAL_TAX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signed</w:t>
      </w:r>
      <w:r>
        <w:t xml:space="preserve"> </w:t>
      </w:r>
      <w:r>
        <w:t xml:space="preserve">(negative on return documents); return money lives in</w:t>
      </w:r>
      <w:r>
        <w:t xml:space="preserve"> </w:t>
      </w:r>
      <w:r>
        <w:rPr>
          <w:rStyle w:val="VerbatimChar"/>
        </w:rPr>
        <w:t xml:space="preserve">RETURN_SUBTOTAL_WITH_TAX</w:t>
      </w:r>
      <w:r>
        <w:t xml:space="preserve">-family source columns because</w:t>
      </w:r>
      <w:r>
        <w:t xml:space="preserve"> </w:t>
      </w:r>
      <w:r>
        <w:rPr>
          <w:rStyle w:val="VerbatimChar"/>
        </w:rPr>
        <w:t xml:space="preserve">SALE_*</w:t>
      </w:r>
      <w:r>
        <w:t xml:space="preserve"> </w:t>
      </w:r>
      <w:r>
        <w:t xml:space="preserve">is zero on RECEIPT_TYPE=1 documents.</w:t>
      </w:r>
    </w:p>
    <w:bookmarkEnd w:id="36"/>
    <w:bookmarkStart w:id="37" w:name="fact_sales_items-insert-only"/>
    <w:p>
      <w:pPr>
        <w:pStyle w:val="Heading3"/>
      </w:pPr>
      <w:r>
        <w:t xml:space="preserve">FACT_SALES_ITEMS</w:t>
      </w:r>
      <w:r>
        <w:t xml:space="preserve"> </w:t>
      </w:r>
      <w:r>
        <w:rPr>
          <w:iCs/>
          <w:i/>
        </w:rPr>
        <w:t xml:space="preserve">(insert-only)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DOC_ITEM_SID</w:t>
      </w:r>
      <w:r>
        <w:t xml:space="preserve">.</w:t>
      </w:r>
      <w:r>
        <w:t xml:space="preserve"> </w:t>
      </w:r>
      <w:r>
        <w:rPr>
          <w:rStyle w:val="VerbatimChar"/>
        </w:rPr>
        <w:t xml:space="preserve">DOC_SID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INVC_POST_DATE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SUBSIDIARY_SID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'Sale'</w:t>
      </w:r>
      <w:r>
        <w:t xml:space="preserve">/</w:t>
      </w:r>
      <w:r>
        <w:rPr>
          <w:rStyle w:val="VerbatimChar"/>
        </w:rPr>
        <w:t xml:space="preserve">'Return'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sale receipt can contain returned items</w:t>
      </w:r>
      <w:r>
        <w:t xml:space="preserve">, which is why gross/returns are measured here, not from headers),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 unit measures (</w:t>
      </w:r>
      <w:r>
        <w:rPr>
          <w:rStyle w:val="VerbatimChar"/>
        </w:rPr>
        <w:t xml:space="preserve">UNIT_COST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UNIT_ORIG_PRICE_WOTAX/WTAX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UNIT_TAX_AMT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UNIT_PRICE_WTAX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UNIT_ITEM_DISC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UNIT_RECEIPT_DISC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UNIT_LOYALTY_DISC</w:t>
      </w:r>
      <w:r>
        <w:t xml:space="preserve">) and line totals (</w:t>
      </w:r>
      <w:r>
        <w:rPr>
          <w:rStyle w:val="VerbatimChar"/>
        </w:rPr>
        <w:t xml:space="preserve">TOTAL_COST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TOTAL_ORIG_PRICE_WOTAX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TOTAL_PRICE_WOTAX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TOTAL_TAX_AMT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TOTAL_PRICE_WTAX</w:t>
      </w:r>
      <w:r>
        <w:t xml:space="preserve">).</w:t>
      </w:r>
    </w:p>
    <w:bookmarkEnd w:id="37"/>
    <w:bookmarkStart w:id="38" w:name="fact_inventory-snapshot-upsert"/>
    <w:p>
      <w:pPr>
        <w:pStyle w:val="Heading3"/>
      </w:pPr>
      <w:r>
        <w:t xml:space="preserve">FACT_INVENTORY</w:t>
      </w:r>
      <w:r>
        <w:t xml:space="preserve"> </w:t>
      </w:r>
      <w:r>
        <w:rPr>
          <w:iCs/>
          <w:i/>
        </w:rPr>
        <w:t xml:space="preserve">(snapshot upsert)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(ITEM_SID, STORE_SID)</w:t>
      </w:r>
      <w:r>
        <w:t xml:space="preserve">.</w:t>
      </w:r>
      <w:r>
        <w:t xml:space="preserve"> </w:t>
      </w:r>
      <w:r>
        <w:rPr>
          <w:rStyle w:val="VerbatimChar"/>
        </w:rPr>
        <w:t xml:space="preserve">SUBSIDIARY_SID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ON_HAND_QTY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PRICE1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SYNCED_AT</w:t>
      </w:r>
      <w:r>
        <w:t xml:space="preserve">. Guarded: a source read returning 0 rows never empties the existing snapshot.</w:t>
      </w:r>
    </w:p>
    <w:bookmarkEnd w:id="38"/>
    <w:bookmarkStart w:id="39" w:name="fact_inventory_history-insert-only"/>
    <w:p>
      <w:pPr>
        <w:pStyle w:val="Heading3"/>
      </w:pPr>
      <w:r>
        <w:t xml:space="preserve">FACT_INVENTORY_HISTORY</w:t>
      </w:r>
      <w:r>
        <w:t xml:space="preserve"> </w:t>
      </w:r>
      <w:r>
        <w:rPr>
          <w:iCs/>
          <w:i/>
        </w:rPr>
        <w:t xml:space="preserve">(insert-only)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HISTORY_SID</w:t>
      </w:r>
      <w:r>
        <w:t xml:space="preserve">.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SBS_SID</w:t>
      </w:r>
      <w:r>
        <w:t xml:space="preserve">. Only present where the customization exists (feature-detected).</w:t>
      </w:r>
    </w:p>
    <w:bookmarkEnd w:id="39"/>
    <w:bookmarkStart w:id="40" w:name="fact_transfers-insert-only"/>
    <w:p>
      <w:pPr>
        <w:pStyle w:val="Heading3"/>
      </w:pPr>
      <w:r>
        <w:t xml:space="preserve">FACT_TRANSFERS</w:t>
      </w:r>
      <w:r>
        <w:t xml:space="preserve"> </w:t>
      </w:r>
      <w:r>
        <w:rPr>
          <w:iCs/>
          <w:i/>
        </w:rPr>
        <w:t xml:space="preserve">(insert-only)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TRANSFER_ITEM_SID</w:t>
      </w:r>
      <w:r>
        <w:t xml:space="preserve">.</w:t>
      </w:r>
      <w:r>
        <w:t xml:space="preserve"> </w:t>
      </w:r>
      <w:r>
        <w:rPr>
          <w:rStyle w:val="VerbatimChar"/>
        </w:rPr>
        <w:t xml:space="preserve">SLIP_SID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SLIP_NO</w:t>
      </w:r>
      <w:r>
        <w:t xml:space="preserve">,</w:t>
      </w:r>
      <w:r>
        <w:t xml:space="preserve"> </w:t>
      </w:r>
      <w:r>
        <w:rPr>
          <w:rStyle w:val="VerbatimChar"/>
        </w:rPr>
        <w:t xml:space="preserve">SLIP_DATE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VOU_NO</w:t>
      </w:r>
      <w:r>
        <w:t xml:space="preserve">,</w:t>
      </w:r>
      <w:r>
        <w:t xml:space="preserve"> </w:t>
      </w:r>
      <w:r>
        <w:rPr>
          <w:rStyle w:val="VerbatimChar"/>
        </w:rPr>
        <w:t xml:space="preserve">VOU_CLASS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VOU_STATUS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RECV_QTY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TOTAL_PRICE</w:t>
      </w:r>
      <w:r>
        <w:t xml:space="preserve">.</w:t>
      </w:r>
    </w:p>
    <w:bookmarkEnd w:id="40"/>
    <w:bookmarkStart w:id="41" w:name="fact_adjustments-insert-only"/>
    <w:p>
      <w:pPr>
        <w:pStyle w:val="Heading3"/>
      </w:pPr>
      <w:r>
        <w:t xml:space="preserve">FACT_ADJUSTMENTS</w:t>
      </w:r>
      <w:r>
        <w:t xml:space="preserve"> </w:t>
      </w:r>
      <w:r>
        <w:rPr>
          <w:iCs/>
          <w:i/>
        </w:rPr>
        <w:t xml:space="preserve">(insert-only)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ADJ_ITEM_SID</w:t>
      </w:r>
      <w:r>
        <w:t xml:space="preserve">.</w:t>
      </w:r>
      <w:r>
        <w:t xml:space="preserve"> </w:t>
      </w:r>
      <w:r>
        <w:rPr>
          <w:rStyle w:val="VerbatimChar"/>
        </w:rPr>
        <w:t xml:space="preserve">ADJ_SID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ADJ_NO</w:t>
      </w:r>
      <w:r>
        <w:t xml:space="preserve">,</w:t>
      </w:r>
      <w:r>
        <w:t xml:space="preserve"> </w:t>
      </w:r>
      <w:r>
        <w:rPr>
          <w:rStyle w:val="VerbatimChar"/>
        </w:rPr>
        <w:t xml:space="preserve">ADJ_DATE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 </w:t>
      </w:r>
      <w:r>
        <w:t xml:space="preserve">(85% of headers have NULL store — the loader falls back to the creating controller’s store, then</w:t>
      </w:r>
      <w:r>
        <w:t xml:space="preserve"> </w:t>
      </w:r>
      <w:r>
        <w:rPr>
          <w:rStyle w:val="VerbatimChar"/>
        </w:rPr>
        <w:t xml:space="preserve">ORIG_STORE_SID</w:t>
      </w:r>
      <w:r>
        <w:t xml:space="preserve">),</w:t>
      </w:r>
      <w:r>
        <w:t xml:space="preserve"> </w:t>
      </w:r>
      <w:r>
        <w:rPr>
          <w:rStyle w:val="VerbatimChar"/>
        </w:rPr>
        <w:t xml:space="preserve">EMPLOYEE_SID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ADJ_QTY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QTY_DIFF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COST_DIFF</w:t>
      </w:r>
      <w:r>
        <w:t xml:space="preserve">.</w:t>
      </w:r>
    </w:p>
    <w:bookmarkEnd w:id="41"/>
    <w:bookmarkStart w:id="42" w:name="fact_purchases-insert-only"/>
    <w:p>
      <w:pPr>
        <w:pStyle w:val="Heading3"/>
      </w:pPr>
      <w:r>
        <w:t xml:space="preserve">FACT_PURCHASES</w:t>
      </w:r>
      <w:r>
        <w:t xml:space="preserve"> </w:t>
      </w:r>
      <w:r>
        <w:rPr>
          <w:iCs/>
          <w:i/>
        </w:rPr>
        <w:t xml:space="preserve">(insert-only)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VOU_SID</w:t>
      </w:r>
      <w:r>
        <w:t xml:space="preserve">.</w:t>
      </w:r>
      <w:r>
        <w:t xml:space="preserve"> </w:t>
      </w:r>
      <w:r>
        <w:rPr>
          <w:rStyle w:val="VerbatimChar"/>
        </w:rPr>
        <w:t xml:space="preserve">VOU_NO</w:t>
      </w:r>
      <w:r>
        <w:t xml:space="preserve">,</w:t>
      </w:r>
      <w:r>
        <w:t xml:space="preserve"> </w:t>
      </w:r>
      <w:r>
        <w:rPr>
          <w:rStyle w:val="VerbatimChar"/>
        </w:rPr>
        <w:t xml:space="preserve">VOU_DATE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CAST(CREATED_DATETIME AS DATE)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SUBSIDIARY_SID</w:t>
      </w:r>
      <w:r>
        <w:t xml:space="preserve"> </w:t>
      </w:r>
      <w:r>
        <w:t xml:space="preserve">(the voucher’s own</w:t>
      </w:r>
      <w:r>
        <w:t xml:space="preserve"> </w:t>
      </w:r>
      <w:r>
        <w:rPr>
          <w:rStyle w:val="VerbatimChar"/>
        </w:rPr>
        <w:t xml:space="preserve">SBS_SID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EMPLOYEE_SID</w:t>
      </w:r>
      <w:r>
        <w:t xml:space="preserve"> </w:t>
      </w:r>
      <w:r>
        <w:t xml:space="preserve">(=</w:t>
      </w:r>
      <w:r>
        <w:rPr>
          <w:rStyle w:val="VerbatimChar"/>
        </w:rPr>
        <w:t xml:space="preserve">CLERK_SID</w:t>
      </w:r>
      <w:r>
        <w:t xml:space="preserve">),</w:t>
      </w:r>
      <w:r>
        <w:t xml:space="preserve"> </w:t>
      </w:r>
      <w:r>
        <w:rPr>
          <w:rStyle w:val="VerbatimChar"/>
        </w:rPr>
        <w:t xml:space="preserve">VOU_SUBTOTAL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VOU_TOTAL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RECV_QTY</w:t>
      </w:r>
      <w:r>
        <w:t xml:space="preserve">. Filter:</w:t>
      </w:r>
      <w:r>
        <w:t xml:space="preserve"> </w:t>
      </w:r>
      <w:r>
        <w:rPr>
          <w:rStyle w:val="VerbatimChar"/>
        </w:rPr>
        <w:t xml:space="preserve">NVL(SLIP_FLAG,0)=0 AND NVL(HELD,0)=0</w:t>
      </w:r>
      <w:r>
        <w:t xml:space="preserve"> </w:t>
      </w:r>
      <w:r>
        <w:t xml:space="preserve">(transfer-generated and held vouchers excluded).</w:t>
      </w:r>
    </w:p>
    <w:bookmarkEnd w:id="42"/>
    <w:bookmarkStart w:id="43" w:name="fact_purchase_items-insert-only"/>
    <w:p>
      <w:pPr>
        <w:pStyle w:val="Heading3"/>
      </w:pPr>
      <w:r>
        <w:t xml:space="preserve">FACT_PURCHASE_ITEMS</w:t>
      </w:r>
      <w:r>
        <w:t xml:space="preserve"> </w:t>
      </w:r>
      <w:r>
        <w:rPr>
          <w:iCs/>
          <w:i/>
        </w:rPr>
        <w:t xml:space="preserve">(insert-only)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VOU_ITEM_SID</w:t>
      </w:r>
      <w:r>
        <w:t xml:space="preserve">.</w:t>
      </w:r>
      <w:r>
        <w:t xml:space="preserve"> </w:t>
      </w:r>
      <w:r>
        <w:rPr>
          <w:rStyle w:val="VerbatimChar"/>
        </w:rPr>
        <w:t xml:space="preserve">VOU_SID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VOU_DATE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SUBSIDIARY_SID</w:t>
      </w:r>
      <w:r>
        <w:t xml:space="preserve"> </w:t>
      </w:r>
      <w:r>
        <w:t xml:space="preserve">(from parent voucher),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RECV_QTY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TOTAL_COST</w:t>
      </w:r>
      <w:r>
        <w:t xml:space="preserve"> </w:t>
      </w:r>
      <w:r>
        <w:t xml:space="preserve">(=qty×cost),</w:t>
      </w:r>
      <w:r>
        <w:t xml:space="preserve"> </w:t>
      </w:r>
      <w:r>
        <w:rPr>
          <w:rStyle w:val="VerbatimChar"/>
        </w:rPr>
        <w:t xml:space="preserve">TOTAL_RETAIL</w:t>
      </w:r>
      <w:r>
        <w:t xml:space="preserve"> </w:t>
      </w:r>
      <w:r>
        <w:t xml:space="preserve">(=qty×price).</w:t>
      </w:r>
    </w:p>
    <w:bookmarkEnd w:id="43"/>
    <w:bookmarkStart w:id="44" w:name="fact_gl-window-replace-on-every-load"/>
    <w:p>
      <w:pPr>
        <w:pStyle w:val="Heading3"/>
      </w:pPr>
      <w:r>
        <w:t xml:space="preserve">FACT_GL</w:t>
      </w:r>
      <w:r>
        <w:t xml:space="preserve"> </w:t>
      </w:r>
      <w:r>
        <w:rPr>
          <w:iCs/>
          <w:i/>
        </w:rPr>
        <w:t xml:space="preserve">(window-replace on every load)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GL_LINE_SID</w:t>
      </w:r>
      <w:r>
        <w:t xml:space="preserve">. One row per GL line of the virtual ledger (subsidiary 100).</w:t>
      </w:r>
      <w:r>
        <w:t xml:space="preserve"> </w:t>
      </w:r>
      <w:r>
        <w:rPr>
          <w:rStyle w:val="VerbatimChar"/>
        </w:rPr>
        <w:t xml:space="preserve">GL_DOC_SID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GL_DOC_NO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POST_DATE</w:t>
      </w:r>
      <w:r>
        <w:t xml:space="preserve"> </w:t>
      </w:r>
      <w:r>
        <w:t xml:space="preserve">(the ACCOUNTING date — for poster journals the</w:t>
      </w:r>
      <w:r>
        <w:t xml:space="preserve"> </w:t>
      </w:r>
      <w:r>
        <w:rPr>
          <w:iCs/>
          <w:i/>
        </w:rPr>
        <w:t xml:space="preserve">source document’s</w:t>
      </w:r>
      <w:r>
        <w:t xml:space="preserve"> </w:t>
      </w:r>
      <w:r>
        <w:t xml:space="preserve">date carried in NOTE8; for manual entries the sbs-100 document’s own date),</w:t>
      </w:r>
      <w:r>
        <w:t xml:space="preserve"> </w:t>
      </w:r>
      <w:r>
        <w:rPr>
          <w:rStyle w:val="VerbatimChar"/>
          <w:bCs/>
          <w:b/>
        </w:rPr>
        <w:t xml:space="preserve">GL_POST_DATE</w:t>
      </w:r>
      <w:r>
        <w:t xml:space="preserve"> </w:t>
      </w:r>
      <w:r>
        <w:t xml:space="preserve">(when the books actually received the entry — the sbs-100 document’s own</w:t>
      </w:r>
      <w:r>
        <w:t xml:space="preserve"> </w:t>
      </w:r>
      <w:r>
        <w:rPr>
          <w:rStyle w:val="VerbatimChar"/>
        </w:rPr>
        <w:t xml:space="preserve">INVC_POST_DATE</w:t>
      </w:r>
      <w:r>
        <w:t xml:space="preserve">; both dates are kept because accountants need both, and the reports offer a</w:t>
      </w:r>
      <w:r>
        <w:t xml:space="preserve"> </w:t>
      </w:r>
      <w:r>
        <w:t xml:space="preserve">“</w:t>
      </w:r>
      <w:r>
        <w:t xml:space="preserve">date basis</w:t>
      </w:r>
      <w:r>
        <w:t xml:space="preserve">”</w:t>
      </w:r>
      <w:r>
        <w:t xml:space="preserve"> </w:t>
      </w:r>
      <w:r>
        <w:t xml:space="preserve">toggle),</w:t>
      </w:r>
      <w:r>
        <w:t xml:space="preserve"> </w:t>
      </w:r>
      <w:r>
        <w:rPr>
          <w:rStyle w:val="VerbatimChar"/>
        </w:rPr>
        <w:t xml:space="preserve">ACCOUNT_SID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SUBSIDIARY_SID</w:t>
      </w:r>
      <w:r>
        <w:t xml:space="preserve">, source metadata (</w:t>
      </w:r>
      <w:r>
        <w:rPr>
          <w:rStyle w:val="VerbatimChar"/>
        </w:rPr>
        <w:t xml:space="preserve">SRC_SBS_NO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SRC_STORE_CODE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SRC_DOC_SID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SRC_DOC_NO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SRC_DOC_TYPE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BP_ID</w:t>
      </w:r>
      <w:r>
        <w:t xml:space="preserve">) and money (</w:t>
      </w:r>
      <w:r>
        <w:rPr>
          <w:rStyle w:val="VerbatimChar"/>
        </w:rPr>
        <w:t xml:space="preserve">DEBIT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= signed, debit-positive). Three derived journal categories (never stored):</w:t>
      </w:r>
      <w:r>
        <w:t xml:space="preserve"> </w:t>
      </w:r>
      <w:r>
        <w:rPr>
          <w:bCs/>
          <w:b/>
        </w:rPr>
        <w:t xml:space="preserve">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SRC_DOC_TYPE LIKE 'P_%'</w:t>
      </w:r>
      <w:r>
        <w:t xml:space="preserve">),</w:t>
      </w:r>
      <w:r>
        <w:t xml:space="preserve"> </w:t>
      </w:r>
      <w:r>
        <w:rPr>
          <w:bCs/>
          <w:b/>
        </w:rPr>
        <w:t xml:space="preserve">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SRC_DOC_SID IS NOT NULL</w:t>
      </w:r>
      <w:r>
        <w:t xml:space="preserve"> </w:t>
      </w:r>
      <w:r>
        <w:t xml:space="preserve">and not Payment),</w:t>
      </w:r>
      <w:r>
        <w:t xml:space="preserve"> </w:t>
      </w:r>
      <w:r>
        <w:rPr>
          <w:bCs/>
          <w:b/>
        </w:rPr>
        <w:t xml:space="preserve">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SRC_DOC_SID IS NULL</w:t>
      </w:r>
      <w:r>
        <w:t xml:space="preserve"> </w:t>
      </w:r>
      <w:r>
        <w:t xml:space="preserve">— a manual journal keyed directly into Prism; its NOTE fields are absent so source columns load as NULL, never faked).</w:t>
      </w:r>
    </w:p>
    <w:bookmarkEnd w:id="44"/>
    <w:bookmarkStart w:id="45" w:name="X507a11d9a271e5edcea24a4e7bba44a84e8fb28"/>
    <w:p>
      <w:pPr>
        <w:pStyle w:val="Heading3"/>
      </w:pPr>
      <w:r>
        <w:t xml:space="preserve">FACT_GL_DOC</w:t>
      </w:r>
      <w:r>
        <w:t xml:space="preserve"> </w:t>
      </w:r>
      <w:r>
        <w:rPr>
          <w:iCs/>
          <w:i/>
        </w:rPr>
        <w:t xml:space="preserve">(derived locally after each GL load)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SRC_DOC_SID</w:t>
      </w:r>
      <w:r>
        <w:t xml:space="preserve"> </w:t>
      </w:r>
      <w:r>
        <w:t xml:space="preserve">— holding</w:t>
      </w:r>
      <w:r>
        <w:t xml:space="preserve"> </w:t>
      </w:r>
      <w:r>
        <w:rPr>
          <w:rStyle w:val="VerbatimChar"/>
        </w:rPr>
        <w:t xml:space="preserve">COALESCE(FACT_GL.SRC_DOC_SID, GL_DOC_SID)</w:t>
      </w:r>
      <w:r>
        <w:t xml:space="preserve">: the source document for poster journals (which must net to zero across ALL its journals), the GL document itself for manual entries (which must balance within themselves).</w:t>
      </w:r>
      <w:r>
        <w:t xml:space="preserve"> </w:t>
      </w:r>
      <w:r>
        <w:rPr>
          <w:rStyle w:val="VerbatimChar"/>
        </w:rPr>
        <w:t xml:space="preserve">POST_DATE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GL_POST_DATE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SRC_DOC_NO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SRC_STORE_CODE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IS_BALANCED</w:t>
      </w:r>
      <w:r>
        <w:t xml:space="preserve"> </w:t>
      </w:r>
      <w:r>
        <w:t xml:space="preserve">— drives the reporting gate: unbalanced units are excluded from the statements and surfaced by GL Exceptions, so money is never silently dropped.</w:t>
      </w:r>
    </w:p>
    <w:bookmarkEnd w:id="45"/>
    <w:bookmarkEnd w:id="46"/>
    <w:bookmarkStart w:id="47" w:name="etl-control-tables"/>
    <w:p>
      <w:pPr>
        <w:pStyle w:val="Heading2"/>
      </w:pPr>
      <w:r>
        <w:t xml:space="preserve">3.3 ETL / control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sync run: type (full/incremental/range), trigger, date range, chunk progress, timing,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SYNC_RUN_STATS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Per-table row counts per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SYNC_WATERMARK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</w:t>
            </w:r>
            <w:r>
              <w:t xml:space="preserve"> </w:t>
            </w:r>
            <w:r>
              <w:rPr>
                <w:rStyle w:val="VerbatimChar"/>
              </w:rPr>
              <w:t xml:space="preserve">loaded_from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loaded_to</w:t>
            </w:r>
            <w:r>
              <w:t xml:space="preserve"> </w:t>
            </w:r>
            <w:r>
              <w:t xml:space="preserve">— the span actually present, shown in Settings →</w:t>
            </w:r>
            <w:r>
              <w:t xml:space="preserve"> </w:t>
            </w:r>
            <w:r>
              <w:t xml:space="preserve">“</w:t>
            </w:r>
            <w:r>
              <w:t xml:space="preserve">Loaded Data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Post-load validation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optional Prism customizations exist on this server (inventory history, accounting).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Key/value per warehouse file:</w:t>
            </w:r>
            <w:r>
              <w:t xml:space="preserve"> </w:t>
            </w:r>
            <w:r>
              <w:rPr>
                <w:rStyle w:val="VerbatimChar"/>
              </w:rPr>
              <w:t xml:space="preserve">source_host</w:t>
            </w:r>
            <w:r>
              <w:t xml:space="preserve"> </w:t>
            </w:r>
            <w:r>
              <w:t xml:space="preserve">(license binding — a copied file on another server shows UNLICENSED COPY),</w:t>
            </w:r>
            <w:r>
              <w:t xml:space="preserve"> </w:t>
            </w:r>
            <w:r>
              <w:rPr>
                <w:rStyle w:val="VerbatimChar"/>
              </w:rPr>
              <w:t xml:space="preserve">dims_loaded_at</w:t>
            </w:r>
            <w:r>
              <w:t xml:space="preserve"> </w:t>
            </w:r>
            <w:r>
              <w:t xml:space="preserve">(12-h dimension-reload throttle),</w:t>
            </w:r>
            <w:r>
              <w:t xml:space="preserve"> </w:t>
            </w:r>
            <w:r>
              <w:rPr>
                <w:rStyle w:val="VerbatimChar"/>
              </w:rPr>
              <w:t xml:space="preserve">sub_limit_since</w:t>
            </w:r>
            <w:r>
              <w:t xml:space="preserve"> </w:t>
            </w:r>
            <w:r>
              <w:t xml:space="preserve">(subsidiary-limit grace start).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users, bcrypt password hashes, roles, per-user page permissions, store scoping.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Admin/user actions (logins, settings saves, loads, license installs…).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views, grid column state, UI preferences.</w:t>
            </w:r>
          </w:p>
        </w:tc>
      </w:tr>
    </w:tbl>
    <w:bookmarkEnd w:id="47"/>
    <w:bookmarkStart w:id="48" w:name="load-semantics-summary"/>
    <w:p>
      <w:pPr>
        <w:pStyle w:val="Heading2"/>
      </w:pPr>
      <w:r>
        <w:t xml:space="preserve">3.4 Load semantics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Incremental</w:t>
            </w:r>
            <w:r>
              <w:t xml:space="preserve"> </w:t>
            </w:r>
            <w:r>
              <w:t xml:space="preserve">(on-open, scheduled, tray)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= last</w:t>
            </w:r>
            <w:r>
              <w:t xml:space="preserve"> </w:t>
            </w:r>
            <w:r>
              <w:rPr>
                <w:bCs/>
                <w:b/>
              </w:rPr>
              <w:t xml:space="preserve">N days, minimum 30</w:t>
            </w:r>
            <w:r>
              <w:t xml:space="preserve"> </w:t>
            </w:r>
            <w:r>
              <w:t xml:space="preserve">(options 30/60/90). Immutable facts: INSERT-only anti-join on PK (re-reading is harmless). FACT_SALES_DAILY: window rebuilt. FACT_GL:</w:t>
            </w:r>
            <w:r>
              <w:t xml:space="preserve"> </w:t>
            </w:r>
            <w:r>
              <w:rPr>
                <w:bCs/>
                <w:b/>
              </w:rPr>
              <w:t xml:space="preserve">window delete + reload</w:t>
            </w:r>
            <w:r>
              <w:t xml:space="preserve"> </w:t>
            </w:r>
            <w:r>
              <w:t xml:space="preserve">(absorbs sbs-100 DBA wipes within the window). FACT_INVENTORY: snapshot upsert. DIM_ITEM + small dims refreshed (≤ every 12 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over each domain’s configured history window (per-domain</w:t>
            </w:r>
            <w:r>
              <w:t xml:space="preserve"> </w:t>
            </w:r>
            <w:r>
              <w:t xml:space="preserve">“</w:t>
            </w:r>
            <w:r>
              <w:t xml:space="preserve">Keep history</w:t>
            </w:r>
            <w:r>
              <w:t xml:space="preserve">”</w:t>
            </w:r>
            <w:r>
              <w:t xml:space="preserve"> </w:t>
            </w:r>
            <w:r>
              <w:t xml:space="preserve">setting).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From→To, append by default;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Replace this period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checkbox = delete range first (</w:t>
            </w:r>
            <w:r>
              <w:rPr>
                <w:rStyle w:val="VerbatimChar"/>
              </w:rPr>
              <w:t xml:space="preserve">rebuild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 everything</w:t>
            </w:r>
            <w:r>
              <w:t xml:space="preserve"> </w:t>
            </w:r>
            <w:r>
              <w:t xml:space="preserve">(per-domain 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full-load?rebuild=true</w:t>
            </w:r>
            <w:r>
              <w:t xml:space="preserve"> </w:t>
            </w:r>
            <w:r>
              <w:t xml:space="preserve">for one domain over its own window — delete + reload.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</w:t>
            </w:r>
            <w:r>
              <w:t xml:space="preserve"> </w:t>
            </w:r>
            <w:r>
              <w:rPr>
                <w:rStyle w:val="VerbatimChar"/>
              </w:rPr>
              <w:t xml:space="preserve">retain_detail_months</w:t>
            </w:r>
            <w:r>
              <w:t xml:space="preserve"> </w:t>
            </w:r>
            <w:r>
              <w:t xml:space="preserve">prunes old</w:t>
            </w:r>
            <w:r>
              <w:t xml:space="preserve"> </w:t>
            </w:r>
            <w:r>
              <w:rPr>
                <w:iCs/>
                <w:i/>
              </w:rPr>
              <w:t xml:space="preserve">line detail</w:t>
            </w:r>
            <w:r>
              <w:t xml:space="preserve"> </w:t>
            </w:r>
            <w:r>
              <w:t xml:space="preserve">(daily summaries are kept forever).</w:t>
            </w:r>
          </w:p>
        </w:tc>
      </w:tr>
    </w:tbl>
    <w:p>
      <w:pPr>
        <w:pStyle w:val="BodyText"/>
      </w:pPr>
      <w:r>
        <w:t xml:space="preserve">The 30-day incremental floor makes every refresh a rolling self-healing window: late postings and accounting reposts inside the last 30 days are absorbed automatically.</w:t>
      </w:r>
    </w:p>
    <w:bookmarkEnd w:id="48"/>
    <w:bookmarkEnd w:id="49"/>
    <w:bookmarkStart w:id="53" w:name="erd"/>
    <w:p>
      <w:pPr>
        <w:pStyle w:val="Heading1"/>
      </w:pPr>
      <w:r>
        <w:t xml:space="preserve">4. ERD</w:t>
      </w:r>
    </w:p>
    <w:p>
      <w:pPr>
        <w:pStyle w:val="CaptionedFigure"/>
      </w:pPr>
      <w:r>
        <w:drawing>
          <wp:inline>
            <wp:extent cx="5334000" cy="4396446"/>
            <wp:effectExtent b="0" l="0" r="0" t="0"/>
            <wp:docPr descr="RetailTec Analytics warehouse ERD" title="" id="51" name="Picture"/>
            <a:graphic>
              <a:graphicData uri="http://schemas.openxmlformats.org/drawingml/2006/picture">
                <pic:pic>
                  <pic:nvPicPr>
                    <pic:cNvPr descr="er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RetailTec Analytics warehouse ERD</w:t>
      </w:r>
    </w:p>
    <w:p>
      <w:pPr>
        <w:pStyle w:val="BodyText"/>
      </w:pPr>
      <w:r>
        <w:rPr>
          <w:bCs/>
          <w:b/>
        </w:rPr>
        <w:t xml:space="preserve">Join conventions</w:t>
      </w:r>
      <w:r>
        <w:t xml:space="preserve"> </w:t>
      </w:r>
      <w:r>
        <w:t xml:space="preserve">(implicit — enforce in SQL, not schema):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FACT_SALES_ITEMS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FACT_SALES_INVOICES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FACT_SALES_*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DIM_STORE / DIM_SUBSIDIARY / DIM_EMPLOYEE / DIM_CUSTOMER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STORE_SID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SUBSIDIARY_SID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EMPLOYEE1_SID</w:t>
            </w:r>
            <w:r>
              <w:t xml:space="preserve">,</w:t>
            </w:r>
            <w:r>
              <w:rPr>
                <w:rStyle w:val="VerbatimChar"/>
              </w:rPr>
              <w:t xml:space="preserve">CASHIER_SID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BT_CUID = DIM_CUSTOMER.SID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FACT_SALES_ITEMS / FACT_INVENTORY* / FACT_TRANSFERS / FACT_ADJUSTMENTS / FACT_PURCHASE_ITEMS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DIM_DCS / DIM_VENDOR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DCS_SID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VEND_SID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DIM_STORE ×2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OUT_STORE_SID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IN_STORE_SID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FACT_PURCHASE_ITEMS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FACT_PURCHASES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VOU_SID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DIM_VENDOR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VEND_SID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FACT_GL_DOC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COALESCE(SRC_DOC_SID, GL_DOC_SID)</w:t>
            </w:r>
            <w:r>
              <w:t xml:space="preserve"> </w:t>
            </w:r>
            <w:r>
              <w:t xml:space="preserve">— always use this COALESCE (</w:t>
            </w:r>
            <w:r>
              <w:rPr>
                <w:rStyle w:val="VerbatimChar"/>
              </w:rPr>
              <w:t xml:space="preserve">_doc_key()</w:t>
            </w:r>
            <w:r>
              <w:t xml:space="preserve"> </w:t>
            </w:r>
            <w:r>
              <w:t xml:space="preserve">in the routers)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fact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column =</w:t>
            </w:r>
            <w:r>
              <w:t xml:space="preserve"> </w:t>
            </w:r>
            <w:r>
              <w:rPr>
                <w:rStyle w:val="VerbatimChar"/>
              </w:rPr>
              <w:t xml:space="preserve">DATE_KEY</w:t>
            </w:r>
          </w:p>
        </w:tc>
      </w:tr>
    </w:tbl>
    <w:p>
      <w:pPr>
        <w:pStyle w:val="BodyText"/>
      </w:pPr>
      <w:r>
        <w:t xml:space="preserve">A browsable HTML version (</w:t>
      </w:r>
      <w:r>
        <w:rPr>
          <w:rStyle w:val="VerbatimChar"/>
        </w:rPr>
        <w:t xml:space="preserve">RetailTec-Warehouse-ERD.html</w:t>
      </w:r>
      <w:r>
        <w:t xml:space="preserve">) ships in the repository.</w:t>
      </w:r>
    </w:p>
    <w:bookmarkEnd w:id="53"/>
    <w:bookmarkStart w:id="54" w:name="reliability-operations"/>
    <w:p>
      <w:pPr>
        <w:pStyle w:val="Heading1"/>
      </w:pPr>
      <w:r>
        <w:t xml:space="preserve">5. Reliability &amp;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bind assertion:</w:t>
      </w:r>
      <w:r>
        <w:t xml:space="preserve"> </w:t>
      </w:r>
      <w:r>
        <w:t xml:space="preserve">every warehouse query goes through helpers that assert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 count matches the parameter list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execution, failing with a clear message naming the query.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WAL self-heal:</w:t>
      </w:r>
      <w:r>
        <w:t xml:space="preserve"> </w:t>
      </w:r>
      <w:r>
        <w:t xml:space="preserve">if DuckDB’s write-ahead log is corrupt at startup (force-kill leftovers), the app quarantines it to</w:t>
      </w:r>
      <w:r>
        <w:t xml:space="preserve"> </w:t>
      </w:r>
      <w:r>
        <w:rPr>
          <w:rStyle w:val="VerbatimChar"/>
        </w:rPr>
        <w:t xml:space="preserve">wal_quarantine\</w:t>
      </w:r>
      <w:r>
        <w:t xml:space="preserve"> </w:t>
      </w:r>
      <w:r>
        <w:t xml:space="preserve">beside the file, logs loudly, and retries once. Only the last un-checkpointed batch is lost — and the ≥30-day incremental window re-pulls it on the next sync. A WAL merely</w:t>
      </w:r>
      <w:r>
        <w:t xml:space="preserve"> </w:t>
      </w:r>
      <w:r>
        <w:rPr>
          <w:iCs/>
          <w:i/>
        </w:rPr>
        <w:t xml:space="preserve">held by a live instance</w:t>
      </w:r>
      <w:r>
        <w:t xml:space="preserve"> </w:t>
      </w:r>
      <w:r>
        <w:t xml:space="preserve">is never touched.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Single-writer model:</w:t>
      </w:r>
      <w:r>
        <w:t xml:space="preserve"> </w:t>
      </w:r>
      <w:r>
        <w:t xml:space="preserve">one shared DuckDB connection for sync writes; every API request gets its own cursor (MVCC) so dashboards read concurrently while a sync runs.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Instance takeover:</w:t>
      </w:r>
      <w:r>
        <w:t xml:space="preserve"> </w:t>
      </w:r>
      <w:r>
        <w:rPr>
          <w:rStyle w:val="VerbatimChar"/>
        </w:rPr>
        <w:t xml:space="preserve">duckdb.connect</w:t>
      </w:r>
      <w:r>
        <w:t xml:space="preserve"> </w:t>
      </w:r>
      <w:r>
        <w:t xml:space="preserve">retries for up to 120 s when another instance still holds the file (tray Restart overlap).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t xml:space="preserve">Settings → Maintenance — manual</w:t>
      </w:r>
      <w:r>
        <w:t xml:space="preserve"> </w:t>
      </w:r>
      <w:r>
        <w:t xml:space="preserve">“</w:t>
      </w:r>
      <w:r>
        <w:t xml:space="preserve">Backup Now</w:t>
      </w:r>
      <w:r>
        <w:t xml:space="preserve">”</w:t>
      </w:r>
      <w:r>
        <w:t xml:space="preserve">, weekly CHECKPOINT + monthly backups with retention, and Restore (keeps a pre-restore safety copy). Backups are safe while the app runs.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Defender/build trap (dev machine):</w:t>
      </w:r>
      <w:r>
        <w:t xml:space="preserve"> </w:t>
      </w:r>
      <w:r>
        <w:t xml:space="preserve">never delete</w:t>
      </w:r>
      <w:r>
        <w:t xml:space="preserve"> </w:t>
      </w:r>
      <w:r>
        <w:rPr>
          <w:rStyle w:val="VerbatimChar"/>
        </w:rPr>
        <w:t xml:space="preserve">packaging\out</w:t>
      </w:r>
      <w:r>
        <w:t xml:space="preserve"> </w:t>
      </w:r>
      <w:r>
        <w:t xml:space="preserve">right after the app ran — Windows Defender holds the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for minutes. Build code into</w:t>
      </w:r>
      <w:r>
        <w:t xml:space="preserve"> </w:t>
      </w:r>
      <w:r>
        <w:rPr>
          <w:rStyle w:val="VerbatimChar"/>
        </w:rPr>
        <w:t xml:space="preserve">out2</w:t>
      </w:r>
      <w:r>
        <w:t xml:space="preserve"> </w:t>
      </w:r>
      <w:r>
        <w:t xml:space="preserve">and robocopy over, excluding state files.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RetailTec Analytics — Database, Data Warehouse &amp; ERD</dc:title>
  <dc:creator/>
  <cp:keywords/>
  <dcterms:created xsi:type="dcterms:W3CDTF">2026-07-29T12:01:13Z</dcterms:created>
  <dcterms:modified xsi:type="dcterms:W3CDTF">2026-07-29T12:01:13Z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 · App version 3.1.0 · Warehouse schema v8</vt:lpwstr>
  </property>
  <property fmtid="{D5CDD505-2E9C-101B-9397-08002B2CF9AE}" pid="3" name="subtitle">
    <vt:lpwstr>Volume 1 of 5 — Technical Handover Documentation</vt:lpwstr>
  </property>
  <property fmtid="{D5CDD505-2E9C-101B-9397-08002B2CF9AE}" pid="4" name="toc">
    <vt:lpwstr>True</vt:lpwstr>
  </property>
</Properties>
</file>