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RetailTec</w:t>
      </w:r>
      <w:r>
        <w:t xml:space="preserve"> </w:t>
      </w:r>
      <w:r>
        <w:t xml:space="preserve">Analytics</w:t>
      </w:r>
      <w:r>
        <w:t xml:space="preserve"> </w:t>
      </w:r>
      <w:r>
        <w:t xml:space="preserve">—</w:t>
      </w:r>
      <w:r>
        <w:t xml:space="preserve"> </w:t>
      </w:r>
      <w:r>
        <w:t xml:space="preserve">Business</w:t>
      </w:r>
      <w:r>
        <w:t xml:space="preserve"> </w:t>
      </w:r>
      <w:r>
        <w:t xml:space="preserve">Logic</w:t>
      </w:r>
      <w:r>
        <w:t xml:space="preserve"> </w:t>
      </w:r>
      <w:r>
        <w:t xml:space="preserve">&amp;</w:t>
      </w:r>
      <w:r>
        <w:t xml:space="preserve"> </w:t>
      </w:r>
      <w:r>
        <w:t xml:space="preserve">KPI</w:t>
      </w:r>
      <w:r>
        <w:t xml:space="preserve"> </w:t>
      </w:r>
      <w:r>
        <w:t xml:space="preserve">Calculations</w:t>
      </w:r>
    </w:p>
    <w:p>
      <w:pPr>
        <w:pStyle w:val="Subtitle"/>
      </w:pPr>
      <w:r>
        <w:t xml:space="preserve">Volume</w:t>
      </w:r>
      <w:r>
        <w:t xml:space="preserve"> </w:t>
      </w:r>
      <w:r>
        <w:t xml:space="preserve">2</w:t>
      </w:r>
      <w:r>
        <w:t xml:space="preserve"> </w:t>
      </w:r>
      <w:r>
        <w:t xml:space="preserve">of</w:t>
      </w:r>
      <w:r>
        <w:t xml:space="preserve"> </w:t>
      </w:r>
      <w:r>
        <w:t xml:space="preserve">5</w:t>
      </w:r>
      <w:r>
        <w:t xml:space="preserve"> </w:t>
      </w:r>
      <w:r>
        <w:t xml:space="preserve">—</w:t>
      </w:r>
      <w:r>
        <w:t xml:space="preserve"> </w:t>
      </w:r>
      <w:r>
        <w:t xml:space="preserve">Technical</w:t>
      </w:r>
      <w:r>
        <w:t xml:space="preserve"> </w:t>
      </w:r>
      <w:r>
        <w:t xml:space="preserve">Handover</w:t>
      </w:r>
      <w:r>
        <w:t xml:space="preserve"> </w:t>
      </w:r>
      <w:r>
        <w:t xml:space="preserve">Documentation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App</w:t>
      </w:r>
      <w:r>
        <w:t xml:space="preserve"> </w:t>
      </w:r>
      <w:r>
        <w:t xml:space="preserve">version</w:t>
      </w:r>
      <w:r>
        <w:t xml:space="preserve"> </w:t>
      </w:r>
      <w:r>
        <w:t xml:space="preserve">3.1.0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58d7e8cfcba5d05b4e0a3cdb02c008283cc6d39"/>
    <w:p>
      <w:pPr>
        <w:pStyle w:val="Heading1"/>
      </w:pPr>
      <w:r>
        <w:t xml:space="preserve">1. Universal Rules (apply to every number in the product)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Only posted documents count.</w:t>
      </w:r>
      <w:r>
        <w:t xml:space="preserve"> </w:t>
      </w:r>
      <w:r>
        <w:t xml:space="preserve">Sales facts load</w:t>
      </w:r>
      <w:r>
        <w:t xml:space="preserve"> </w:t>
      </w:r>
      <w:r>
        <w:rPr>
          <w:rStyle w:val="VerbatimChar"/>
        </w:rPr>
        <w:t xml:space="preserve">STATUS = 4</w:t>
      </w:r>
      <w:r>
        <w:t xml:space="preserve"> </w:t>
      </w:r>
      <w:r>
        <w:t xml:space="preserve">documents with</w:t>
      </w:r>
      <w:r>
        <w:t xml:space="preserve"> </w:t>
      </w:r>
      <w:r>
        <w:rPr>
          <w:rStyle w:val="VerbatimChar"/>
        </w:rPr>
        <w:t xml:space="preserve">RECEIPT_TYPE IN (0,1,2)</w:t>
      </w:r>
      <w:r>
        <w:t xml:space="preserve"> </w:t>
      </w:r>
      <w:r>
        <w:t xml:space="preserve">(0 = sale receipt, 1 = return receipt, 2 = order). Vouchers additionally exclude</w:t>
      </w:r>
      <w:r>
        <w:t xml:space="preserve"> </w:t>
      </w:r>
      <w:r>
        <w:rPr>
          <w:rStyle w:val="VerbatimChar"/>
        </w:rPr>
        <w:t xml:space="preserve">HELD = 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SLIP_FLAG = 1</w:t>
      </w:r>
      <w:r>
        <w:t xml:space="preserve"> </w:t>
      </w:r>
      <w:r>
        <w:t xml:space="preserve">(transfer-generated vouchers live in Transfers, not Purchasing).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Subsidiary 100 never appears in operational numbers.</w:t>
      </w:r>
      <w:r>
        <w:t xml:space="preserve"> </w:t>
      </w:r>
      <w:r>
        <w:t xml:space="preserve">It is the accounting customization’s synthetic subsidiary; every non-accounting extract and screen filters it out, and it never consumes a licensed subsidiary slot.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Money comes in two families:</w:t>
      </w:r>
      <w:r>
        <w:t xml:space="preserve"> </w:t>
      </w:r>
      <w:r>
        <w:rPr>
          <w:rStyle w:val="VerbatimChar"/>
        </w:rPr>
        <w:t xml:space="preserve">*_WOTAX</w:t>
      </w:r>
      <w:r>
        <w:t xml:space="preserve"> </w:t>
      </w:r>
      <w:r>
        <w:t xml:space="preserve">(without tax) and</w:t>
      </w:r>
      <w:r>
        <w:t xml:space="preserve"> </w:t>
      </w:r>
      <w:r>
        <w:rPr>
          <w:rStyle w:val="VerbatimChar"/>
        </w:rPr>
        <w:t xml:space="preserve">*_WTAX</w:t>
      </w:r>
      <w:r>
        <w:t xml:space="preserve"> </w:t>
      </w:r>
      <w:r>
        <w:t xml:space="preserve">(with tax). KPI cards say which they use; the P&amp;L works without tax by definition.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Signs:</w:t>
      </w:r>
      <w:r>
        <w:t xml:space="preserve"> </w:t>
      </w:r>
      <w:r>
        <w:t xml:space="preserve">header</w:t>
      </w:r>
      <w:r>
        <w:t xml:space="preserve"> </w:t>
      </w:r>
      <w:r>
        <w:rPr>
          <w:rStyle w:val="VerbatimChar"/>
        </w:rPr>
        <w:t xml:space="preserve">NET_SALES_WOTAX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TOTAL_TAX</w:t>
      </w:r>
      <w:r>
        <w:t xml:space="preserve"> </w:t>
      </w:r>
      <w:r>
        <w:t xml:space="preserve">are</w:t>
      </w:r>
      <w:r>
        <w:t xml:space="preserve"> </w:t>
      </w:r>
      <w:r>
        <w:rPr>
          <w:iCs/>
          <w:i/>
        </w:rPr>
        <w:t xml:space="preserve">signed</w:t>
      </w:r>
      <w:r>
        <w:t xml:space="preserve"> </w:t>
      </w:r>
      <w:r>
        <w:t xml:space="preserve">(negative on return documents). Item-level rows carry an</w:t>
      </w:r>
      <w:r>
        <w:t xml:space="preserve"> </w:t>
      </w:r>
      <w:r>
        <w:rPr>
          <w:rStyle w:val="VerbatimChar"/>
        </w:rPr>
        <w:t xml:space="preserve">ITEM_TYPE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'Sale'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'Return'</w:t>
      </w:r>
      <w:r>
        <w:t xml:space="preserve"> </w:t>
      </w:r>
      <w:r>
        <w:t xml:space="preserve">and positive quantities; measures apply the sign by type.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sale receipt can contain returned items.</w:t>
      </w:r>
      <w:r>
        <w:t xml:space="preserve"> </w:t>
      </w:r>
      <w:r>
        <w:t xml:space="preserve">(Verified in production: ~1,017 type-0 receipts carrying return lines.) Therefore</w:t>
      </w:r>
      <w:r>
        <w:t xml:space="preserve"> </w:t>
      </w:r>
      <w:r>
        <w:rPr>
          <w:iCs/>
          <w:i/>
        </w:rPr>
        <w:t xml:space="preserve">gross sales</w:t>
      </w:r>
      <w:r>
        <w:t xml:space="preserve">,</w:t>
      </w:r>
      <w:r>
        <w:t xml:space="preserve"> </w:t>
      </w:r>
      <w:r>
        <w:rPr>
          <w:iCs/>
          <w:i/>
        </w:rPr>
        <w:t xml:space="preserve">returns value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return units</w:t>
      </w:r>
      <w:r>
        <w:t xml:space="preserve"> </w:t>
      </w:r>
      <w:r>
        <w:t xml:space="preserve">are always measured from</w:t>
      </w:r>
      <w:r>
        <w:t xml:space="preserve"> </w:t>
      </w:r>
      <w:r>
        <w:rPr>
          <w:bCs/>
          <w:b/>
        </w:rPr>
        <w:t xml:space="preserve">FACT_SALES_ITEMS</w:t>
      </w:r>
      <w:r>
        <w:t xml:space="preserve">, never inferred from receipt counts.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Store scoping is enforced server-side.</w:t>
      </w:r>
      <w:r>
        <w:t xml:space="preserve"> </w:t>
      </w:r>
      <w:r>
        <w:t xml:space="preserve">A store-scoped user’s JWT carries the allowed stores; every endpoint re-applies that set — the UI merely mirrors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Zero-noise thresholds:</w:t>
      </w:r>
      <w:r>
        <w:t xml:space="preserve"> </w:t>
      </w:r>
      <w:r>
        <w:t xml:space="preserve">a difference below 0.005 renders as 0.00 and is treated as float noise, not a posting error (</w:t>
      </w:r>
      <w:r>
        <w:rPr>
          <w:rStyle w:val="VerbatimChar"/>
        </w:rPr>
        <w:t xml:space="preserve">EPS</w:t>
      </w:r>
      <w:r>
        <w:t xml:space="preserve"> </w:t>
      </w:r>
      <w:r>
        <w:t xml:space="preserve">in the accounting pages).</w:t>
      </w:r>
    </w:p>
    <w:bookmarkEnd w:id="20"/>
    <w:bookmarkStart w:id="21" w:name="sales-kpis"/>
    <w:p>
      <w:pPr>
        <w:pStyle w:val="Heading1"/>
      </w:pPr>
      <w:r>
        <w:t xml:space="preserve">2. Sales KPIs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 Sales (w/o tax)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</w:t>
            </w:r>
            <w:r>
              <w:t xml:space="preserve"> </w:t>
            </w:r>
            <w:r>
              <w:rPr>
                <w:rStyle w:val="VerbatimChar"/>
              </w:rPr>
              <w:t xml:space="preserve">NET_SALES_WOTAX</w:t>
            </w:r>
            <w:r>
              <w:t xml:space="preserve"> </w:t>
            </w:r>
            <w:r>
              <w:t xml:space="preserve">= (</w:t>
            </w:r>
            <w:r>
              <w:rPr>
                <w:rStyle w:val="VerbatimChar"/>
              </w:rPr>
              <w:t xml:space="preserve">SALE_SUBTOTAL_WITH_TAX</w:t>
            </w:r>
            <w:r>
              <w:t xml:space="preserve"> </w:t>
            </w:r>
            <w:r>
              <w:t xml:space="preserve">−</w:t>
            </w:r>
            <w:r>
              <w:t xml:space="preserve"> </w:t>
            </w:r>
            <w:r>
              <w:rPr>
                <w:rStyle w:val="VerbatimChar"/>
              </w:rPr>
              <w:t xml:space="preserve">SALE_TOTAL_TAX_AMT</w:t>
            </w:r>
            <w:r>
              <w:t xml:space="preserve">) − (</w:t>
            </w:r>
            <w:r>
              <w:rPr>
                <w:rStyle w:val="VerbatimChar"/>
              </w:rPr>
              <w:t xml:space="preserve">RETURN_SUBTOTAL_WITH_TAX</w:t>
            </w:r>
            <w:r>
              <w:t xml:space="preserve"> </w:t>
            </w:r>
            <w:r>
              <w:t xml:space="preserve">−</w:t>
            </w:r>
            <w:r>
              <w:t xml:space="preserve"> </w:t>
            </w:r>
            <w:r>
              <w:rPr>
                <w:rStyle w:val="VerbatimChar"/>
              </w:rPr>
              <w:t xml:space="preserve">RETURN_TOTAL_TAX_AMT</w:t>
            </w:r>
            <w:r>
              <w:t xml:space="preserve">) per document, summed. Signed, so returns reduce it naturally.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Gross Sales (w/o tax)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item</w:t>
            </w:r>
            <w:r>
              <w:t xml:space="preserve"> </w:t>
            </w:r>
            <w:r>
              <w:rPr>
                <w:rStyle w:val="VerbatimChar"/>
              </w:rPr>
              <w:t xml:space="preserve">TOTAL_PRICE_WOTAX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ITEM_TYPE='Sale'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Returns (w/o tax)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item</w:t>
            </w:r>
            <w:r>
              <w:t xml:space="preserve"> </w:t>
            </w:r>
            <w:r>
              <w:rPr>
                <w:rStyle w:val="VerbatimChar"/>
              </w:rPr>
              <w:t xml:space="preserve">TOTAL_PRICE_WOTAX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ITEM_TYPE='Return'</w:t>
            </w:r>
            <w:r>
              <w:t xml:space="preserve"> </w:t>
            </w:r>
            <w:r>
              <w:t xml:space="preserve">(positive figure). Net = Gross − Returns.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Return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item</w:t>
            </w:r>
            <w:r>
              <w:t xml:space="preserve"> </w:t>
            </w:r>
            <w:r>
              <w:rPr>
                <w:rStyle w:val="VerbatimChar"/>
              </w:rPr>
              <w:t xml:space="preserve">QTY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ITEM_TYPE='Return'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Return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value ÷ Gross sales (or units-based where labeled).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(w/ tax)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rPr>
                <w:rStyle w:val="VerbatimChar"/>
              </w:rPr>
              <w:t xml:space="preserve">SALE_SUBTOTAL_WITH_TAX</w:t>
            </w:r>
            <w:r>
              <w:t xml:space="preserve"> </w:t>
            </w:r>
            <w:r>
              <w:t xml:space="preserve">−</w:t>
            </w:r>
            <w:r>
              <w:t xml:space="preserve"> </w:t>
            </w:r>
            <w:r>
              <w:rPr>
                <w:rStyle w:val="VerbatimChar"/>
              </w:rPr>
              <w:t xml:space="preserve">RETURN_SUBTOTAL_WITH_TAX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TOTAL_DEPOSIT_TAKEN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TOTAL_FEE_AMT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SHIPPING_AMT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  <w:r>
              <w:t xml:space="preserve"> </w:t>
            </w:r>
            <w:r>
              <w:rPr>
                <w:rStyle w:val="VerbatimChar"/>
              </w:rPr>
              <w:t xml:space="preserve">SALE_TOTAL_TAX_AMT</w:t>
            </w:r>
            <w:r>
              <w:t xml:space="preserve"> </w:t>
            </w:r>
            <w:r>
              <w:t xml:space="preserve">−</w:t>
            </w:r>
            <w:r>
              <w:t xml:space="preserve"> </w:t>
            </w:r>
            <w:r>
              <w:rPr>
                <w:rStyle w:val="VerbatimChar"/>
              </w:rPr>
              <w:t xml:space="preserve">RETURN_TOTAL_TAX_AMT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Invoice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  <w:r>
              <w:t xml:space="preserve"> </w:t>
            </w:r>
            <w:r>
              <w:rPr>
                <w:rStyle w:val="VerbatimChar"/>
              </w:rPr>
              <w:t xml:space="preserve">DISC_AMT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</w:t>
            </w:r>
            <w:r>
              <w:t xml:space="preserve"> </w:t>
            </w:r>
            <w:r>
              <w:rPr>
                <w:rStyle w:val="VerbatimChar"/>
              </w:rPr>
              <w:t xml:space="preserve">DOCUMENT_ITEM.DISC_AMT</w:t>
            </w:r>
            <w:r>
              <w:t xml:space="preserve"> </w:t>
            </w:r>
            <w:r>
              <w:t xml:space="preserve">with sign flipped on return lines (</w:t>
            </w:r>
            <w:r>
              <w:rPr>
                <w:rStyle w:val="VerbatimChar"/>
              </w:rPr>
              <w:t xml:space="preserve">ITEM_TYPE=2 → ×−1</w:t>
            </w:r>
            <w:r>
              <w:t xml:space="preserve">), excluding kit components (</w:t>
            </w:r>
            <w:r>
              <w:rPr>
                <w:rStyle w:val="VerbatimChar"/>
              </w:rPr>
              <w:t xml:space="preserve">KIT_FLAG &lt;&gt; 5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Loyalty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  <w:r>
              <w:t xml:space="preserve"> </w:t>
            </w:r>
            <w:r>
              <w:rPr>
                <w:rStyle w:val="VerbatimChar"/>
              </w:rPr>
              <w:t xml:space="preserve">LTY_SALE_TOTAL_BASED_DISC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RECEIPT_TYPE=0 documents (returns and orders counted separately).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ATV (avg ticket)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Sales ÷ Sales 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UPT (units per ticket)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Sold units ÷ Sales 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item</w:t>
            </w:r>
            <w:r>
              <w:t xml:space="preserve"> </w:t>
            </w:r>
            <w:r>
              <w:rPr>
                <w:rStyle w:val="VerbatimChar"/>
              </w:rPr>
              <w:t xml:space="preserve">TOTAL_COST</w:t>
            </w:r>
            <w:r>
              <w:t xml:space="preserve"> </w:t>
            </w:r>
            <w:r>
              <w:t xml:space="preserve">(qty × unit cost) with sale/return sign.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Margin / Margin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(Net Sales − COGS); Margin ÷ Net Sales.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Deposits taken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  <w:r>
              <w:t xml:space="preserve"> </w:t>
            </w:r>
            <w:r>
              <w:rPr>
                <w:rStyle w:val="VerbatimChar"/>
              </w:rPr>
              <w:t xml:space="preserve">TOTAL_DEPOSIT_TAKEN</w:t>
            </w:r>
            <w:r>
              <w:t xml:space="preserve"> </w:t>
            </w:r>
            <w:r>
              <w:t xml:space="preserve">(order deposits — money in, not yet revenue).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Fees / Shipping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  <w:r>
              <w:t xml:space="preserve"> </w:t>
            </w:r>
            <w:r>
              <w:rPr>
                <w:rStyle w:val="VerbatimChar"/>
              </w:rPr>
              <w:t xml:space="preserve">TOTAL_FEE_AMT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SHIPPING_AMT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Payment split</w:t>
      </w:r>
      <w:r>
        <w:t xml:space="preserve"> </w:t>
      </w:r>
      <w:r>
        <w:t xml:space="preserve">(per document, from</w:t>
      </w:r>
      <w:r>
        <w:t xml:space="preserve"> </w:t>
      </w:r>
      <w:r>
        <w:rPr>
          <w:rStyle w:val="VerbatimChar"/>
        </w:rPr>
        <w:t xml:space="preserve">RPS.TENDER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TENDER_TYPE</w:t>
      </w:r>
      <w:r>
        <w:t xml:space="preserve">): Cash = type 0 · Card = types 2 and 11 · Deposit-used = type 7 · Other = everything else. These feed the</w:t>
      </w:r>
      <w:r>
        <w:t xml:space="preserve"> </w:t>
      </w:r>
      <w:r>
        <w:rPr>
          <w:rStyle w:val="VerbatimChar"/>
        </w:rPr>
        <w:t xml:space="preserve">CASH_AMT/CARD_AMT/DEPOSIT_AMT/OTHER_AMT</w:t>
      </w:r>
      <w:r>
        <w:t xml:space="preserve"> </w:t>
      </w:r>
      <w:r>
        <w:t xml:space="preserve">columns and the payment KPIs.</w:t>
      </w:r>
    </w:p>
    <w:p>
      <w:pPr>
        <w:pStyle w:val="BodyText"/>
      </w:pPr>
      <w:r>
        <w:rPr>
          <w:bCs/>
          <w:b/>
        </w:rPr>
        <w:t xml:space="preserve">Date attribution:</w:t>
      </w:r>
      <w:r>
        <w:t xml:space="preserve"> </w:t>
      </w:r>
      <w:r>
        <w:t xml:space="preserve">all sales figures sit on</w:t>
      </w:r>
      <w:r>
        <w:t xml:space="preserve"> </w:t>
      </w:r>
      <w:r>
        <w:rPr>
          <w:rStyle w:val="VerbatimChar"/>
        </w:rPr>
        <w:t xml:space="preserve">INVC_POST_DATE</w:t>
      </w:r>
      <w:r>
        <w:t xml:space="preserve"> </w:t>
      </w:r>
      <w:r>
        <w:t xml:space="preserve">(the business posting date). Comparisons (</w:t>
      </w:r>
      <w:r>
        <w:t xml:space="preserve">“</w:t>
      </w:r>
      <w:r>
        <w:t xml:space="preserve">vs previous period</w:t>
      </w:r>
      <w:r>
        <w:t xml:space="preserve">”</w:t>
      </w:r>
      <w:r>
        <w:t xml:space="preserve">) shift the window by its own length;</w:t>
      </w:r>
      <w:r>
        <w:t xml:space="preserve"> </w:t>
      </w:r>
      <w:r>
        <w:t xml:space="preserve">“</w:t>
      </w:r>
      <w:r>
        <w:t xml:space="preserve">vs last year</w:t>
      </w:r>
      <w:r>
        <w:t xml:space="preserve">”</w:t>
      </w:r>
      <w:r>
        <w:t xml:space="preserve"> </w:t>
      </w:r>
      <w:r>
        <w:t xml:space="preserve">aligns by date.</w:t>
      </w:r>
    </w:p>
    <w:bookmarkEnd w:id="21"/>
    <w:bookmarkStart w:id="22" w:name="inventory-kpis"/>
    <w:p>
      <w:pPr>
        <w:pStyle w:val="Heading1"/>
      </w:pPr>
      <w:r>
        <w:t xml:space="preserve">3. Inventory KPIs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On-hand Qty /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  <w:r>
              <w:t xml:space="preserve"> </w:t>
            </w:r>
            <w:r>
              <w:rPr>
                <w:rStyle w:val="VerbatimChar"/>
              </w:rPr>
              <w:t xml:space="preserve">ON_HAND_QTY</w:t>
            </w:r>
            <w:r>
              <w:t xml:space="preserve">; value =</w:t>
            </w:r>
            <w:r>
              <w:t xml:space="preserve"> </w:t>
            </w:r>
            <w:r>
              <w:rPr>
                <w:rStyle w:val="VerbatimChar"/>
              </w:rPr>
              <w:t xml:space="preserve">ON_HAND_QTY × COST</w:t>
            </w:r>
            <w:r>
              <w:t xml:space="preserve">. Retail value =</w:t>
            </w:r>
            <w:r>
              <w:t xml:space="preserve"> </w:t>
            </w:r>
            <w:r>
              <w:rPr>
                <w:rStyle w:val="VerbatimChar"/>
              </w:rPr>
              <w:t xml:space="preserve">ON_HAND_QTY × PRICE1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Coverage (days)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On-hand ÷ average daily units sold over the selected window (per item/store). Infinite ⇒ shown as no-sales.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Stagnant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  <w:r>
              <w:t xml:space="preserve"> </w:t>
            </w:r>
            <w:r>
              <w:rPr>
                <w:bCs/>
                <w:b/>
              </w:rPr>
              <w:t xml:space="preserve">with stock on hand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no sale</w:t>
            </w:r>
            <w:r>
              <w:t xml:space="preserve"> </w:t>
            </w:r>
            <w:r>
              <w:t xml:space="preserve">in the chosen period (30/60/90-day drill cards on Home use the same query as the Inventory coverage page — one source of truth).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 aging buckets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30/60/90-day since-last-movement buckets on the coverage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Movement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FACT_INVENTORY_HISTORY quantity deltas by</w:t>
            </w:r>
            <w:r>
              <w:t xml:space="preserve"> </w:t>
            </w:r>
            <w:r>
              <w:rPr>
                <w:rStyle w:val="VerbatimChar"/>
              </w:rPr>
              <w:t xml:space="preserve">ACTION_TYPE</w:t>
            </w:r>
            <w:r>
              <w:t xml:space="preserve">/date (only on servers with the customization).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Sell-through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 sold ÷ (units sold + on hand) for the window, where labeled.</w:t>
            </w:r>
          </w:p>
        </w:tc>
      </w:tr>
    </w:tbl>
    <w:bookmarkEnd w:id="22"/>
    <w:bookmarkStart w:id="23" w:name="purchasing-kpis"/>
    <w:p>
      <w:pPr>
        <w:pStyle w:val="Heading1"/>
      </w:pPr>
      <w:r>
        <w:t xml:space="preserve">4. Purchasing KPIs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Received Value (cost)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</w:t>
            </w:r>
            <w:r>
              <w:t xml:space="preserve"> </w:t>
            </w:r>
            <w:r>
              <w:rPr>
                <w:rStyle w:val="VerbatimChar"/>
              </w:rPr>
              <w:t xml:space="preserve">RECV_QTY × UNIT_COST</w:t>
            </w:r>
            <w:r>
              <w:t xml:space="preserve"> </w:t>
            </w:r>
            <w:r>
              <w:t xml:space="preserve">from voucher 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Received Retail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</w:t>
            </w:r>
            <w:r>
              <w:t xml:space="preserve"> </w:t>
            </w:r>
            <w:r>
              <w:rPr>
                <w:rStyle w:val="VerbatimChar"/>
              </w:rPr>
              <w:t xml:space="preserve">RECV_QTY × UNIT_PRICE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Ordered vs Received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ORD_QTY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RECV_QTY</w:t>
            </w:r>
            <w:r>
              <w:t xml:space="preserve"> </w:t>
            </w:r>
            <w:r>
              <w:t xml:space="preserve">(fill-rate = received ÷ ordered).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Voucher Total / Subtotal /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  <w:r>
              <w:t xml:space="preserve"> </w:t>
            </w:r>
            <w:r>
              <w:rPr>
                <w:rStyle w:val="VerbatimChar"/>
              </w:rPr>
              <w:t xml:space="preserve">VOU_TOTAL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VOU_SUBTOTAL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DISC_AMT</w:t>
            </w:r>
            <w:r>
              <w:t xml:space="preserve">. Header totals may include tax/fees, so line-sums and header totals legitimately differ — compare like with like.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By-vendor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measures grouped by</w:t>
            </w:r>
            <w:r>
              <w:t xml:space="preserve"> </w:t>
            </w:r>
            <w:r>
              <w:rPr>
                <w:rStyle w:val="VerbatimChar"/>
              </w:rPr>
              <w:t xml:space="preserve">VEND_SID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Purchases are</w:t>
      </w:r>
      <w:r>
        <w:t xml:space="preserve"> </w:t>
      </w:r>
      <w:r>
        <w:rPr>
          <w:bCs/>
          <w:b/>
        </w:rPr>
        <w:t xml:space="preserve">merchandise receipts of sellable products</w:t>
      </w:r>
      <w:r>
        <w:t xml:space="preserve"> </w:t>
      </w:r>
      <w:r>
        <w:t xml:space="preserve">— under the perpetual-inventory model they capitalize into Inventory, not expenses (see Volume 5 §2).</w:t>
      </w:r>
    </w:p>
    <w:bookmarkEnd w:id="23"/>
    <w:bookmarkStart w:id="24" w:name="transfers-adjustments"/>
    <w:p>
      <w:pPr>
        <w:pStyle w:val="Heading1"/>
      </w:pPr>
      <w:r>
        <w:t xml:space="preserve">5. Transfers &amp; Adjustments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Transfers:</w:t>
      </w:r>
      <w:r>
        <w:t xml:space="preserve"> </w:t>
      </w:r>
      <w:r>
        <w:t xml:space="preserve">value =</w:t>
      </w:r>
      <w:r>
        <w:t xml:space="preserve"> </w:t>
      </w:r>
      <w:r>
        <w:rPr>
          <w:rStyle w:val="VerbatimChar"/>
        </w:rPr>
        <w:t xml:space="preserve">QTY × COST</w:t>
      </w:r>
      <w:r>
        <w:t xml:space="preserve"> </w:t>
      </w:r>
      <w:r>
        <w:t xml:space="preserve">per slip line; symmetric by construction (the same row carries</w:t>
      </w:r>
      <w:r>
        <w:t xml:space="preserve"> </w:t>
      </w:r>
      <w:r>
        <w:rPr>
          <w:rStyle w:val="VerbatimChar"/>
        </w:rPr>
        <w:t xml:space="preserve">OUT_STORE_SID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IN_STORE_SID</w:t>
      </w:r>
      <w:r>
        <w:t xml:space="preserve">).</w:t>
      </w:r>
      <w:r>
        <w:t xml:space="preserve"> </w:t>
      </w:r>
      <w:r>
        <w:rPr>
          <w:rStyle w:val="VerbatimChar"/>
        </w:rPr>
        <w:t xml:space="preserve">VOU_STATUS</w:t>
      </w:r>
      <w:r>
        <w:t xml:space="preserve"> </w:t>
      </w:r>
      <w:r>
        <w:t xml:space="preserve">mirrors the receiving voucher.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Adjustments:</w:t>
      </w:r>
      <w:r>
        <w:t xml:space="preserve"> </w:t>
      </w:r>
      <w:r>
        <w:rPr>
          <w:rStyle w:val="VerbatimChar"/>
        </w:rPr>
        <w:t xml:space="preserve">QTY_DIFF = ADJ_QTY − ORIG_QTY</w:t>
      </w:r>
      <w:r>
        <w:t xml:space="preserve">;</w:t>
      </w:r>
      <w:r>
        <w:t xml:space="preserve"> </w:t>
      </w:r>
      <w:r>
        <w:rPr>
          <w:rStyle w:val="VerbatimChar"/>
        </w:rPr>
        <w:t xml:space="preserve">COST_DIFF = QTY_DIFF × UNIT_COST</w:t>
      </w:r>
      <w:r>
        <w:t xml:space="preserve">. Positive = stock created, negative = stock written off.</w:t>
      </w:r>
    </w:p>
    <w:bookmarkEnd w:id="24"/>
    <w:bookmarkStart w:id="25" w:name="X0c99d8b7188a7a99593d20edaf01cc21b5cfab4"/>
    <w:p>
      <w:pPr>
        <w:pStyle w:val="Heading1"/>
      </w:pPr>
      <w:r>
        <w:t xml:space="preserve">6. Accounting Measures (summary — full treatment in Volume 5)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Reading a GL line:</w:t>
      </w:r>
      <w:r>
        <w:t xml:space="preserve"> </w:t>
      </w:r>
      <w:r>
        <w:t xml:space="preserve">amount =</w:t>
      </w:r>
      <w:r>
        <w:t xml:space="preserve"> </w:t>
      </w:r>
      <w:r>
        <w:rPr>
          <w:rStyle w:val="VerbatimChar"/>
        </w:rPr>
        <w:t xml:space="preserve">DOCUMENT_ITEM.PRICE</w:t>
      </w:r>
      <w:r>
        <w:t xml:space="preserve">,</w:t>
      </w:r>
      <w:r>
        <w:t xml:space="preserve"> </w:t>
      </w:r>
      <w:r>
        <w:rPr>
          <w:bCs/>
          <w:b/>
        </w:rPr>
        <w:t xml:space="preserve">always positive</w:t>
      </w:r>
      <w:r>
        <w:t xml:space="preserve">; the</w:t>
      </w:r>
      <w:r>
        <w:t xml:space="preserve"> </w:t>
      </w:r>
      <w:r>
        <w:rPr>
          <w:iCs/>
          <w:i/>
        </w:rPr>
        <w:t xml:space="preserve">sign lives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ITEM_TYPE</w:t>
      </w:r>
      <w:r>
        <w:t xml:space="preserve"> </w:t>
      </w:r>
      <w:r>
        <w:t xml:space="preserve">(1 = debit, 2 = credit). The warehouse stores</w:t>
      </w:r>
      <w:r>
        <w:t xml:space="preserve"> </w:t>
      </w:r>
      <w:r>
        <w:rPr>
          <w:rStyle w:val="VerbatimChar"/>
        </w:rPr>
        <w:t xml:space="preserve">DEBIT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</w:t>
      </w:r>
      <w:r>
        <w:t xml:space="preserve"> </w:t>
      </w:r>
      <w:r>
        <w:t xml:space="preserve">and signed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(debit-positive) so measures just SUM.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Balanced gate: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balance unit</w:t>
      </w:r>
      <w:r>
        <w:t xml:space="preserve"> </w:t>
      </w:r>
      <w:r>
        <w:t xml:space="preserve">(source document across all its journals — or a manual entry within itself) must net to 0.00. Unbalanced units are excluded from every statement and listed in</w:t>
      </w:r>
      <w:r>
        <w:t xml:space="preserve"> </w:t>
      </w:r>
      <w:r>
        <w:rPr>
          <w:bCs/>
          <w:b/>
        </w:rPr>
        <w:t xml:space="preserve">GL Exceptions</w:t>
      </w:r>
      <w:r>
        <w:t xml:space="preserve">; the Trial Balance total row proves the gate (Period Debit = Period Credit).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Date basis:</w:t>
      </w:r>
      <w:r>
        <w:t xml:space="preserve"> </w:t>
      </w:r>
      <w:r>
        <w:t xml:space="preserve">every accounting page offers</w:t>
      </w:r>
      <w:r>
        <w:t xml:space="preserve"> </w:t>
      </w:r>
      <w:r>
        <w:rPr>
          <w:bCs/>
          <w:b/>
        </w:rPr>
        <w:t xml:space="preserve">Transaction 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POST_DATE</w:t>
      </w:r>
      <w:r>
        <w:t xml:space="preserve"> </w:t>
      </w:r>
      <w:r>
        <w:t xml:space="preserve">— the business activity’s period) vs</w:t>
      </w:r>
      <w:r>
        <w:t xml:space="preserve"> </w:t>
      </w:r>
      <w:r>
        <w:rPr>
          <w:bCs/>
          <w:b/>
        </w:rPr>
        <w:t xml:space="preserve">Posting 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GL_POST_DATE</w:t>
      </w:r>
      <w:r>
        <w:t xml:space="preserve"> </w:t>
      </w:r>
      <w:r>
        <w:t xml:space="preserve">— when the books received it). Drill-throughs always carry the basis so the target page reproduces the clicked figure.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Trial Balance (6-column):</w:t>
      </w:r>
      <w:r>
        <w:t xml:space="preserve"> </w:t>
      </w:r>
      <w:r>
        <w:t xml:space="preserve">per account — Opening Dr/Cr (signed opening balance split by sign), Period Dr/Cr (posted sums), Closing Dr/Cr (opening + period, split by sign). Opening = Σ AMOUNT strictly before the window start.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P&amp;L:</w:t>
      </w:r>
      <w:r>
        <w:t xml:space="preserve"> </w:t>
      </w:r>
      <w:r>
        <w:t xml:space="preserve">classes mapped to roles (Revenue/Cost); revenue sections first, then costs, ordered by the customer’s own tree order (</w:t>
      </w:r>
      <w:r>
        <w:rPr>
          <w:rStyle w:val="VerbatimChar"/>
        </w:rPr>
        <w:t xml:space="preserve">CLASS_SEQ</w:t>
      </w:r>
      <w:r>
        <w:t xml:space="preserve">). Profit = Σ revenue − Σ cost over signed amounts.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Balance Sheet:</w:t>
      </w:r>
      <w:r>
        <w:t xml:space="preserve"> </w:t>
      </w:r>
      <w:r>
        <w:t xml:space="preserve">Asset/Liability/Equity roles, cumulative balances to the as-of date.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BP Statement:</w:t>
      </w:r>
      <w:r>
        <w:t xml:space="preserve"> </w:t>
      </w:r>
      <w:r>
        <w:t xml:space="preserve">one partner’s ledger with a running balance. Default</w:t>
      </w:r>
      <w:r>
        <w:t xml:space="preserve"> </w:t>
      </w:r>
      <w:r>
        <w:rPr>
          <w:bCs/>
          <w:b/>
        </w:rPr>
        <w:t xml:space="preserve">control-account view</w:t>
      </w:r>
      <w:r>
        <w:t xml:space="preserve"> </w:t>
      </w:r>
      <w:r>
        <w:t xml:space="preserve">measures the partner’s balance only on the configured receivable/payable accounts (</w:t>
      </w:r>
      <w:r>
        <w:rPr>
          <w:rStyle w:val="VerbatimChar"/>
        </w:rPr>
        <w:t xml:space="preserve">1220.01</w:t>
      </w:r>
      <w:r>
        <w:t xml:space="preserve">/</w:t>
      </w:r>
      <w:r>
        <w:rPr>
          <w:rStyle w:val="VerbatimChar"/>
        </w:rPr>
        <w:t xml:space="preserve">AR</w:t>
      </w:r>
      <w:r>
        <w:t xml:space="preserve">,</w:t>
      </w:r>
      <w:r>
        <w:t xml:space="preserve"> </w:t>
      </w:r>
      <w:r>
        <w:rPr>
          <w:rStyle w:val="VerbatimChar"/>
        </w:rPr>
        <w:t xml:space="preserve">3100.01</w:t>
      </w:r>
      <w:r>
        <w:t xml:space="preserve">/</w:t>
      </w:r>
      <w:r>
        <w:rPr>
          <w:rStyle w:val="VerbatimChar"/>
        </w:rPr>
        <w:t xml:space="preserve">AP</w:t>
      </w:r>
      <w:r>
        <w:t xml:space="preserve">) — because payment journals stamp the partner on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lines, role-based filtering would net payments to zero and overstate balances. An</w:t>
      </w:r>
      <w:r>
        <w:t xml:space="preserve"> </w:t>
      </w:r>
      <w:r>
        <w:t xml:space="preserve">“</w:t>
      </w:r>
      <w:r>
        <w:t xml:space="preserve">all lines</w:t>
      </w:r>
      <w:r>
        <w:t xml:space="preserve">”</w:t>
      </w:r>
      <w:r>
        <w:t xml:space="preserve"> </w:t>
      </w:r>
      <w:r>
        <w:t xml:space="preserve">audit view exists.</w:t>
      </w:r>
    </w:p>
    <w:bookmarkEnd w:id="25"/>
    <w:bookmarkStart w:id="26" w:name="where-each-number-is-computed"/>
    <w:p>
      <w:pPr>
        <w:pStyle w:val="Heading1"/>
      </w:pPr>
      <w:r>
        <w:t xml:space="preserve">7. Where each number is computed</w:t>
      </w:r>
    </w:p>
    <w:p>
      <w:pPr>
        <w:pStyle w:val="FirstParagraph"/>
      </w:pPr>
      <w:r>
        <w:t xml:space="preserve">All KPI logic lives</w:t>
      </w:r>
      <w:r>
        <w:t xml:space="preserve"> </w:t>
      </w:r>
      <w:r>
        <w:rPr>
          <w:bCs/>
          <w:b/>
        </w:rPr>
        <w:t xml:space="preserve">server-side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backend/routers/</w:t>
      </w:r>
      <w:r>
        <w:t xml:space="preserve"> </w:t>
      </w:r>
      <w:r>
        <w:t xml:space="preserve">(sales.py, inventory.py, purchases.py, accounting.py…) as parameterized DuckDB SQL — the frontend only formats. The same endpoint that renders a grid also serves its scheduled-report replay (</w:t>
      </w:r>
      <w:r>
        <w:rPr>
          <w:rStyle w:val="VerbatimChar"/>
        </w:rPr>
        <w:t xml:space="preserve">services/report_grid.py</w:t>
      </w:r>
      <w:r>
        <w:t xml:space="preserve"> </w:t>
      </w:r>
      <w:r>
        <w:t xml:space="preserve">registry), so an emailed report can never disagree with the screen. When you change a formula, you change it once.</w:t>
      </w:r>
    </w:p>
    <w:p>
      <w:pPr>
        <w:pStyle w:val="BodyText"/>
      </w:pPr>
      <w:r>
        <w:rPr>
          <w:bCs/>
          <w:b/>
        </w:rPr>
        <w:t xml:space="preserve">Slicer semantics:</w:t>
      </w:r>
      <w:r>
        <w:t xml:space="preserve"> </w:t>
      </w:r>
      <w:r>
        <w:t xml:space="preserve">every page passes</w:t>
      </w:r>
      <w:r>
        <w:t xml:space="preserve"> </w:t>
      </w:r>
      <w:r>
        <w:rPr>
          <w:rStyle w:val="VerbatimChar"/>
        </w:rPr>
        <w:t xml:space="preserve">date_from/date_to</w:t>
      </w:r>
      <w:r>
        <w:t xml:space="preserve"> </w:t>
      </w:r>
      <w:r>
        <w:t xml:space="preserve">(inclusive), optional</w:t>
      </w:r>
      <w:r>
        <w:t xml:space="preserve"> </w:t>
      </w:r>
      <w:r>
        <w:rPr>
          <w:rStyle w:val="VerbatimChar"/>
        </w:rPr>
        <w:t xml:space="preserve">stores</w:t>
      </w:r>
      <w:r>
        <w:t xml:space="preserve"> </w:t>
      </w:r>
      <w:r>
        <w:t xml:space="preserve">(names),</w:t>
      </w:r>
      <w:r>
        <w:t xml:space="preserve"> </w:t>
      </w:r>
      <w:r>
        <w:rPr>
          <w:rStyle w:val="VerbatimChar"/>
        </w:rPr>
        <w:t xml:space="preserve">subsidiaries</w:t>
      </w:r>
      <w:r>
        <w:t xml:space="preserve"> </w:t>
      </w:r>
      <w:r>
        <w:t xml:space="preserve">(SIDs), and per-page extras (item identifier, DCS, vendor, date-basis…). The shared DataSlicer component guarantees consistent behavior; drill-throughs carry the full slicer state in the URL.</w:t>
      </w:r>
    </w:p>
    <w:bookmarkEnd w:id="26"/>
    <w:bookmarkStart w:id="27" w:name="data-quality-gates-you-must-not-remove"/>
    <w:p>
      <w:pPr>
        <w:pStyle w:val="Heading1"/>
      </w:pPr>
      <w:r>
        <w:t xml:space="preserve">8. Data-quality gates you must not remove</w:t>
      </w:r>
    </w:p>
    <w:p>
      <w:pPr>
        <w:numPr>
          <w:ilvl w:val="0"/>
          <w:numId w:val="1004"/>
        </w:numPr>
        <w:pStyle w:val="Compact"/>
      </w:pPr>
      <w:r>
        <w:t xml:space="preserve">The balanced-document gate (accounting) — statements only ever show money that provably balances.</w:t>
      </w:r>
    </w:p>
    <w:p>
      <w:pPr>
        <w:numPr>
          <w:ilvl w:val="0"/>
          <w:numId w:val="1004"/>
        </w:numPr>
        <w:pStyle w:val="Compact"/>
      </w:pPr>
      <w:r>
        <w:t xml:space="preserve">The never-empty guards — FACT_INVENTORY and small dimensions refuse to overwrite good data with an empty source read.</w:t>
      </w:r>
    </w:p>
    <w:p>
      <w:pPr>
        <w:numPr>
          <w:ilvl w:val="0"/>
          <w:numId w:val="1004"/>
        </w:numPr>
        <w:pStyle w:val="Compact"/>
      </w:pPr>
      <w:r>
        <w:t xml:space="preserve">The sbs-100 quarantine in every operational extract.</w:t>
      </w:r>
    </w:p>
    <w:p>
      <w:pPr>
        <w:numPr>
          <w:ilvl w:val="0"/>
          <w:numId w:val="1004"/>
        </w:numPr>
        <w:pStyle w:val="Compact"/>
      </w:pPr>
      <w:r>
        <w:t xml:space="preserve">Insert-only anti-joins on immutable facts (no updates ⇒ no accidental drift).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?</w:t>
      </w:r>
      <w:r>
        <w:t xml:space="preserve">-placeholder count assertion on every warehouse query.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RetailTec Analytics — Business Logic &amp; KPI Calculations</dc:title>
  <dc:creator/>
  <cp:keywords/>
  <dcterms:created xsi:type="dcterms:W3CDTF">2026-07-29T12:01:14Z</dcterms:created>
  <dcterms:modified xsi:type="dcterms:W3CDTF">2026-07-29T12:01:14Z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 · App version 3.1.0</vt:lpwstr>
  </property>
  <property fmtid="{D5CDD505-2E9C-101B-9397-08002B2CF9AE}" pid="3" name="subtitle">
    <vt:lpwstr>Volume 2 of 5 — Technical Handover Documentation</vt:lpwstr>
  </property>
  <property fmtid="{D5CDD505-2E9C-101B-9397-08002B2CF9AE}" pid="4" name="toc">
    <vt:lpwstr>True</vt:lpwstr>
  </property>
</Properties>
</file>