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C6E"/>
          <w:sz w:val="36"/>
        </w:rPr>
        <w:t>DUE DILIGENCE REVIEW MEMORANDUM</w:t>
      </w:r>
    </w:p>
    <w:p>
      <w:pPr>
        <w:jc w:val="center"/>
      </w:pPr>
      <w:r>
        <w:rPr>
          <w:color w:val="0070A4"/>
          <w:sz w:val="26"/>
        </w:rPr>
        <w:t>Property Transaction — Islamabad</w:t>
      </w:r>
    </w:p>
    <w:p/>
    <w:p>
      <w:pPr>
        <w:spacing w:before="160" w:after="80"/>
      </w:pPr>
      <w:r>
        <w:rPr>
          <w:b/>
          <w:color w:val="143C6E"/>
          <w:sz w:val="26"/>
        </w:rPr>
        <w:t>1. Transaction Summary</w:t>
      </w:r>
    </w:p>
    <w:tbl>
      <w:tblPr>
        <w:tblStyle w:val="TableGrid"/>
        <w:tblW w:type="auto" w:w="0"/>
        <w:jc w:val="left"/>
        <w:tblLook w:firstColumn="1" w:firstRow="1" w:lastColumn="0" w:lastRow="0" w:noHBand="0" w:noVBand="1" w:val="04A0"/>
      </w:tblPr>
      <w:tblGrid>
        <w:gridCol w:w="4561"/>
        <w:gridCol w:w="4561"/>
      </w:tblGrid>
      <w:tr>
        <w:tc>
          <w:tcPr>
            <w:tcW w:type="dxa" w:w="4561"/>
          </w:tcPr>
          <w:p>
            <w:r>
              <w:rPr>
                <w:b/>
                <w:color w:val="143C6E"/>
                <w:sz w:val="20"/>
              </w:rPr>
              <w:t>Prepared by</w:t>
            </w:r>
          </w:p>
        </w:tc>
        <w:tc>
          <w:tcPr>
            <w:tcW w:type="dxa" w:w="4561"/>
          </w:tcPr>
          <w:p>
            <w:r>
              <w:rPr>
                <w:b w:val="0"/>
                <w:sz w:val="20"/>
              </w:rPr>
              <w:t>Law Firm</w:t>
            </w:r>
          </w:p>
        </w:tc>
      </w:tr>
      <w:tr>
        <w:tc>
          <w:tcPr>
            <w:tcW w:type="dxa" w:w="4561"/>
          </w:tcPr>
          <w:p>
            <w:r>
              <w:rPr>
                <w:b/>
                <w:color w:val="143C6E"/>
                <w:sz w:val="20"/>
              </w:rPr>
              <w:t>Date</w:t>
            </w:r>
          </w:p>
        </w:tc>
        <w:tc>
          <w:tcPr>
            <w:tcW w:type="dxa" w:w="4561"/>
          </w:tcPr>
          <w:p>
            <w:r>
              <w:rPr>
                <w:b w:val="0"/>
                <w:sz w:val="20"/>
              </w:rPr>
              <w:t>01 July 2026</w:t>
            </w:r>
          </w:p>
        </w:tc>
      </w:tr>
      <w:tr>
        <w:tc>
          <w:tcPr>
            <w:tcW w:type="dxa" w:w="4561"/>
          </w:tcPr>
          <w:p>
            <w:r>
              <w:rPr>
                <w:b/>
                <w:color w:val="143C6E"/>
                <w:sz w:val="20"/>
              </w:rPr>
              <w:t>Transaction type</w:t>
            </w:r>
          </w:p>
        </w:tc>
        <w:tc>
          <w:tcPr>
            <w:tcW w:type="dxa" w:w="4561"/>
          </w:tcPr>
          <w:p>
            <w:r>
              <w:rPr>
                <w:b w:val="0"/>
                <w:sz w:val="20"/>
              </w:rPr>
              <w:t>Property</w:t>
            </w:r>
          </w:p>
        </w:tc>
      </w:tr>
      <w:tr>
        <w:tc>
          <w:tcPr>
            <w:tcW w:type="dxa" w:w="4561"/>
          </w:tcPr>
          <w:p>
            <w:r>
              <w:rPr>
                <w:b/>
                <w:color w:val="143C6E"/>
                <w:sz w:val="20"/>
              </w:rPr>
              <w:t>City / Authority</w:t>
            </w:r>
          </w:p>
        </w:tc>
        <w:tc>
          <w:tcPr>
            <w:tcW w:type="dxa" w:w="4561"/>
          </w:tcPr>
          <w:p>
            <w:r>
              <w:rPr>
                <w:b w:val="0"/>
                <w:sz w:val="20"/>
              </w:rPr>
              <w:t>Islamabad</w:t>
            </w:r>
          </w:p>
        </w:tc>
      </w:tr>
      <w:tr>
        <w:tc>
          <w:tcPr>
            <w:tcW w:type="dxa" w:w="4561"/>
          </w:tcPr>
          <w:p>
            <w:r>
              <w:rPr>
                <w:b/>
                <w:color w:val="143C6E"/>
                <w:sz w:val="20"/>
              </w:rPr>
              <w:t>Documents reviewed</w:t>
            </w:r>
          </w:p>
        </w:tc>
        <w:tc>
          <w:tcPr>
            <w:tcW w:type="dxa" w:w="4561"/>
          </w:tcPr>
          <w:p>
            <w:r>
              <w:rPr>
                <w:b w:val="0"/>
                <w:sz w:val="20"/>
              </w:rPr>
              <w:t>1</w:t>
            </w:r>
          </w:p>
        </w:tc>
      </w:tr>
      <w:tr>
        <w:tc>
          <w:tcPr>
            <w:tcW w:type="dxa" w:w="4561"/>
          </w:tcPr>
          <w:p>
            <w:r>
              <w:rPr>
                <w:b/>
                <w:color w:val="143C6E"/>
                <w:sz w:val="20"/>
              </w:rPr>
              <w:t>Questions assessed</w:t>
            </w:r>
          </w:p>
        </w:tc>
        <w:tc>
          <w:tcPr>
            <w:tcW w:type="dxa" w:w="4561"/>
          </w:tcPr>
          <w:p>
            <w:r>
              <w:rPr>
                <w:b w:val="0"/>
                <w:sz w:val="20"/>
              </w:rPr>
              <w:t>15</w:t>
            </w:r>
          </w:p>
        </w:tc>
      </w:tr>
    </w:tbl>
    <w:p/>
    <w:p>
      <w:pPr>
        <w:spacing w:before="160" w:after="80"/>
      </w:pPr>
      <w:r>
        <w:rPr>
          <w:b/>
          <w:color w:val="143C6E"/>
          <w:sz w:val="26"/>
        </w:rPr>
        <w:t>2. Risk Summary</w:t>
      </w:r>
    </w:p>
    <w:tbl>
      <w:tblPr>
        <w:tblStyle w:val="TableGrid"/>
        <w:tblW w:type="auto" w:w="0"/>
        <w:jc w:val="left"/>
        <w:tblLook w:firstColumn="1" w:firstRow="1" w:lastColumn="0" w:lastRow="0" w:noHBand="0" w:noVBand="1" w:val="04A0"/>
      </w:tblPr>
      <w:tblGrid>
        <w:gridCol w:w="3041"/>
        <w:gridCol w:w="3041"/>
        <w:gridCol w:w="3041"/>
      </w:tblGrid>
      <w:tr>
        <w:tc>
          <w:tcPr>
            <w:tcW w:type="dxa" w:w="3041"/>
          </w:tcPr>
          <w:p>
            <w:r>
              <w:rPr>
                <w:b/>
                <w:color w:val="AA2323"/>
                <w:sz w:val="20"/>
              </w:rPr>
              <w:t>🔴 HIGH Risk</w:t>
              <w:br/>
              <w:t>4 item(s)</w:t>
            </w:r>
          </w:p>
        </w:tc>
        <w:tc>
          <w:tcPr>
            <w:tcW w:type="dxa" w:w="3041"/>
          </w:tcPr>
          <w:p>
            <w:r>
              <w:rPr>
                <w:b/>
                <w:color w:val="B85C00"/>
                <w:sz w:val="20"/>
              </w:rPr>
              <w:t>🟡 MEDIUM Risk</w:t>
              <w:br/>
              <w:t>7 item(s)</w:t>
            </w:r>
          </w:p>
        </w:tc>
        <w:tc>
          <w:tcPr>
            <w:tcW w:type="dxa" w:w="3041"/>
          </w:tcPr>
          <w:p>
            <w:r>
              <w:rPr>
                <w:b/>
                <w:color w:val="1E6E37"/>
                <w:sz w:val="20"/>
              </w:rPr>
              <w:t>🟢 LOW Risk</w:t>
              <w:br/>
              <w:t>4 item(s)</w:t>
            </w:r>
          </w:p>
        </w:tc>
      </w:tr>
    </w:tbl>
    <w:p/>
    <w:p>
      <w:pPr>
        <w:spacing w:before="160" w:after="80"/>
      </w:pPr>
      <w:r>
        <w:rPr>
          <w:b/>
          <w:color w:val="143C6E"/>
          <w:sz w:val="26"/>
        </w:rPr>
        <w:t>3. Red Flags Detected</w:t>
      </w:r>
    </w:p>
    <w:p>
      <w:pPr>
        <w:pStyle w:val="ListBullet"/>
      </w:pPr>
      <w:r>
        <w:rPr>
          <w:b/>
          <w:color w:val="AA2323"/>
        </w:rPr>
        <w:t>[RF003] Undisclosed litigation or court order</w:t>
      </w:r>
      <w:r>
        <w:rPr>
          <w:color w:val="0070A4"/>
          <w:sz w:val="18"/>
        </w:rPr>
        <w:br/>
        <w:t xml:space="preserve">    Statute: Transfer of Property Act 1882, Section 52</w:t>
        <w:br/>
        <w:t xml:space="preserve">    Constitutional basis: Article 24 — Protection of property rights</w:t>
      </w:r>
    </w:p>
    <w:p>
      <w:pPr>
        <w:pStyle w:val="ListBullet"/>
      </w:pPr>
      <w:r>
        <w:rPr>
          <w:b/>
          <w:color w:val="AA2323"/>
        </w:rPr>
        <w:t>[RF004] Third-party or co-owner interest without consent</w:t>
      </w:r>
      <w:r>
        <w:rPr>
          <w:color w:val="0070A4"/>
          <w:sz w:val="18"/>
        </w:rPr>
        <w:br/>
        <w:t xml:space="preserve">    Statute: Muslim Family Laws Ordinance 1961</w:t>
        <w:br/>
        <w:t xml:space="preserve">    Constitutional basis: Article 25 — Equality of citizens</w:t>
      </w:r>
    </w:p>
    <w:p/>
    <w:p>
      <w:pPr>
        <w:spacing w:before="160" w:after="80"/>
      </w:pPr>
      <w:r>
        <w:rPr>
          <w:b/>
          <w:color w:val="143C6E"/>
          <w:sz w:val="26"/>
        </w:rPr>
        <w:t>4. Clause-by-Clause Findings</w:t>
      </w:r>
    </w:p>
    <w:p>
      <w:r>
        <w:rPr>
          <w:b/>
          <w:color w:val="143C6E"/>
          <w:sz w:val="22"/>
        </w:rPr>
        <w:t>Q1. Is the title deed present and registered in the name of the vendor? Verify Registry number, Sub-Registrar office, and re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about the title deed, Registry number, Sub-Registrar office, or registration date.</w:t>
            </w:r>
          </w:p>
        </w:tc>
      </w:tr>
      <w:tr>
        <w:tc>
          <w:tcPr>
            <w:tcW w:type="dxa" w:w="4561"/>
          </w:tcPr>
          <w:p>
            <w:r>
              <w:rPr>
                <w:b/>
                <w:color w:val="143C6E"/>
                <w:sz w:val="20"/>
              </w:rPr>
              <w:t>Document citation</w:t>
            </w:r>
          </w:p>
        </w:tc>
        <w:tc>
          <w:tcPr>
            <w:tcW w:type="dxa" w:w="4561"/>
          </w:tcPr>
          <w:p>
            <w:r>
              <w:rPr>
                <w:b w:val="0"/>
                <w:sz w:val="20"/>
              </w:rPr>
              <w:t>P2_ML.pdf, property-act.pdf</w:t>
            </w:r>
          </w:p>
        </w:tc>
      </w:tr>
      <w:tr>
        <w:tc>
          <w:tcPr>
            <w:tcW w:type="dxa" w:w="4561"/>
          </w:tcPr>
          <w:p>
            <w:r>
              <w:rPr>
                <w:b/>
                <w:color w:val="143C6E"/>
                <w:sz w:val="20"/>
              </w:rPr>
              <w:t>Statutory citation</w:t>
            </w:r>
          </w:p>
        </w:tc>
        <w:tc>
          <w:tcPr>
            <w:tcW w:type="dxa" w:w="4561"/>
          </w:tcPr>
          <w:p>
            <w:r>
              <w:rPr>
                <w:b w:val="0"/>
                <w:sz w:val="20"/>
              </w:rPr>
              <w:t>Registration Act 1908, Section 17</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Request the client to provide the title deed and verify its registration details with the Sub-Registrar office.</w:t>
            </w:r>
          </w:p>
        </w:tc>
      </w:tr>
    </w:tbl>
    <w:p/>
    <w:p>
      <w:r>
        <w:rPr>
          <w:b/>
          <w:color w:val="143C6E"/>
          <w:sz w:val="22"/>
        </w:rPr>
        <w:t>Q2. Is the property free from all encumbrances, mortgages, charges, or liens? Check for any bank charges or third-party clai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regarding the property's encumbrances, mortgages, charges, or liens. The documents appear to be related to a problem statement and proposed solution for a law firm document review system.</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Transfer of Property Act 1882, Section 53A</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Conduct a thorough search of the property records and review the title documents to determine if the property is free from all encumbrances, mortgages, charges, or liens.</w:t>
            </w:r>
          </w:p>
        </w:tc>
      </w:tr>
    </w:tbl>
    <w:p/>
    <w:p>
      <w:r>
        <w:rPr>
          <w:b/>
          <w:color w:val="143C6E"/>
          <w:sz w:val="22"/>
        </w:rPr>
        <w:t>Q3. Are all required NOCs present — from LDA/CDA/RDA/TMA and all relevant local authorities? Identify which authority issued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about NOCs from LDA/CDA/RDA/TMA or other local authorities.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Request the client to provide all relevant NOCs from LDA/CDA/RDA/TMA and other local authorities to ensure compliance with regulations.</w:t>
            </w:r>
          </w:p>
        </w:tc>
      </w:tr>
    </w:tbl>
    <w:p/>
    <w:p>
      <w:r>
        <w:rPr>
          <w:b/>
          <w:color w:val="143C6E"/>
          <w:sz w:val="22"/>
        </w:rPr>
        <w:t>Q4. Are the property boundaries, Khasra number, Khata number, and area measurements consistent across all submitted document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property boundaries, Khasra number, Khata number, and area measurements. The documents appear to be related to a project brief for an AI/ML internship program, focusing on law firm document review and due diligence processes.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Review the actual property documents, such as the deed or title documents, to verify the consistency of property boundaries, Khasra number, Khata number, and area measurements.</w:t>
            </w:r>
          </w:p>
        </w:tc>
      </w:tr>
    </w:tbl>
    <w:p/>
    <w:p>
      <w:r>
        <w:rPr>
          <w:b/>
          <w:color w:val="143C6E"/>
          <w:sz w:val="22"/>
        </w:rPr>
        <w:t>Q5. Is there any ongoing or threatened litigation, court order, injunction, or caveat against the property or the vendor?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information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regarding ongoing or threatened litigation, court orders, injunctions, or caveats against the property or the vendor. The documents appear to be related to a law firm document review bottleneck and a proposed solution for an AI-powered legal due diligence system.</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Review the property documents and vendor information to determine if there are any ongoing or threatened litigation, court orders, injunctions, or caveats.</w:t>
            </w:r>
          </w:p>
        </w:tc>
      </w:tr>
    </w:tbl>
    <w:p/>
    <w:p>
      <w:r>
        <w:rPr>
          <w:b/>
          <w:color w:val="143C6E"/>
          <w:sz w:val="22"/>
        </w:rPr>
        <w:t>Q6. Is the sale consideration consistent across all documents? Is it supported by bank evidence, pay orders, or payment rece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the sale consideration or supporting bank evidence, pay orders, or payment receipts.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Section 54 of the Transfer of Property Act 1882</w:t>
            </w:r>
          </w:p>
        </w:tc>
      </w:tr>
      <w:tr>
        <w:tc>
          <w:tcPr>
            <w:tcW w:type="dxa" w:w="4561"/>
          </w:tcPr>
          <w:p>
            <w:r>
              <w:rPr>
                <w:b/>
                <w:color w:val="143C6E"/>
                <w:sz w:val="20"/>
              </w:rPr>
              <w:t>Constitutional basis</w:t>
            </w:r>
          </w:p>
        </w:tc>
        <w:tc>
          <w:tcPr>
            <w:tcW w:type="dxa" w:w="4561"/>
          </w:tcPr>
          <w:p>
            <w:r>
              <w:rPr>
                <w:b w:val="0"/>
                <w:sz w:val="20"/>
              </w:rPr>
              <w:t>Article 24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Request additional documents, such as the sale agreement and payment receipts, to verify the consistency of the sale consideration and supporting evidence.</w:t>
            </w:r>
          </w:p>
        </w:tc>
      </w:tr>
    </w:tbl>
    <w:p/>
    <w:p>
      <w:r>
        <w:rPr>
          <w:b/>
          <w:color w:val="143C6E"/>
          <w:sz w:val="22"/>
        </w:rPr>
        <w:t>Q7. Are all signatures, attestations, thumb impressions, and notarial certifications present and valid on all documents?</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discuss the AI/ML internship program, law firm document review, and the proposed solution, but do not mention the presence or validity of signatures, attestations, thumb impressions, and notarial certifications on documents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Registration Act 1908, Section 35</w:t>
            </w:r>
          </w:p>
        </w:tc>
      </w:tr>
      <w:tr>
        <w:tc>
          <w:tcPr>
            <w:tcW w:type="dxa" w:w="4561"/>
          </w:tcPr>
          <w:p>
            <w:r>
              <w:rPr>
                <w:b/>
                <w:color w:val="143C6E"/>
                <w:sz w:val="20"/>
              </w:rPr>
              <w:t>Constitutional basis</w:t>
            </w:r>
          </w:p>
        </w:tc>
        <w:tc>
          <w:tcPr>
            <w:tcW w:type="dxa" w:w="4561"/>
          </w:tcPr>
          <w:p>
            <w:r>
              <w:rPr>
                <w:b w:val="0"/>
                <w:sz w:val="20"/>
              </w:rPr>
              <w:t>Article 270AA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original documents to verify the presence and validity of signatures, attestations, thumb impressions, and notarial certifications</w:t>
            </w:r>
          </w:p>
        </w:tc>
      </w:tr>
    </w:tbl>
    <w:p/>
    <w:p>
      <w:r>
        <w:rPr>
          <w:b/>
          <w:color w:val="143C6E"/>
          <w:sz w:val="22"/>
        </w:rPr>
        <w:t>Q8. Is the land use classification consistent with the intended purpose of acquisition? Check for residential, commercial, o</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land use classification or zoning regulations related to the property in question.</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Section 18 of the Land Revenue Act 1967</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property documents and verify the land use classification with the local authorities to ensure consistency with the intended purpose of acquisition.</w:t>
            </w:r>
          </w:p>
        </w:tc>
      </w:tr>
    </w:tbl>
    <w:p/>
    <w:p>
      <w:r>
        <w:rPr>
          <w:b/>
          <w:color w:val="143C6E"/>
          <w:sz w:val="22"/>
        </w:rPr>
        <w:t xml:space="preserve">Q9. Are utility connections — electricity, gas, water, PTCL — documented and registered in the vendor's name? Are there any </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regarding utility connections or outstanding dues. The documents appear to be related to a law firm's document review process and do not include specific details about the vendor's utility connections.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Request additional documentation from the vendor, such as utility bills or registration certificates, to verify the status of utility connections and outstanding dues.</w:t>
            </w:r>
          </w:p>
        </w:tc>
      </w:tr>
    </w:tbl>
    <w:p/>
    <w:p>
      <w:r>
        <w:rPr>
          <w:b/>
          <w:color w:val="143C6E"/>
          <w:sz w:val="22"/>
        </w:rPr>
        <w:t>Q10. Are all outstanding property taxes, withholding taxes under Sections 236C and 236K of the Income Tax Ordinance 2001, CVT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regarding outstanding property taxes, withholding taxes, CVT, or stamp duty arrears.</w:t>
            </w:r>
          </w:p>
        </w:tc>
      </w:tr>
      <w:tr>
        <w:tc>
          <w:tcPr>
            <w:tcW w:type="dxa" w:w="4561"/>
          </w:tcPr>
          <w:p>
            <w:r>
              <w:rPr>
                <w:b/>
                <w:color w:val="143C6E"/>
                <w:sz w:val="20"/>
              </w:rPr>
              <w:t>Document citation</w:t>
            </w:r>
          </w:p>
        </w:tc>
        <w:tc>
          <w:tcPr>
            <w:tcW w:type="dxa" w:w="4561"/>
          </w:tcPr>
          <w:p>
            <w:r>
              <w:rPr>
                <w:b w:val="0"/>
                <w:sz w:val="20"/>
              </w:rPr>
              <w:t>property-act.pdf, pages not specified</w:t>
            </w:r>
          </w:p>
        </w:tc>
      </w:tr>
      <w:tr>
        <w:tc>
          <w:tcPr>
            <w:tcW w:type="dxa" w:w="4561"/>
          </w:tcPr>
          <w:p>
            <w:r>
              <w:rPr>
                <w:b/>
                <w:color w:val="143C6E"/>
                <w:sz w:val="20"/>
              </w:rPr>
              <w:t>Statutory citation</w:t>
            </w:r>
          </w:p>
        </w:tc>
        <w:tc>
          <w:tcPr>
            <w:tcW w:type="dxa" w:w="4561"/>
          </w:tcPr>
          <w:p>
            <w:r>
              <w:rPr>
                <w:b w:val="0"/>
                <w:sz w:val="20"/>
              </w:rPr>
              <w:t>Income Tax Ordinance 2001, Sections 236C and 236K</w:t>
            </w:r>
          </w:p>
        </w:tc>
      </w:tr>
      <w:tr>
        <w:tc>
          <w:tcPr>
            <w:tcW w:type="dxa" w:w="4561"/>
          </w:tcPr>
          <w:p>
            <w:r>
              <w:rPr>
                <w:b/>
                <w:color w:val="143C6E"/>
                <w:sz w:val="20"/>
              </w:rPr>
              <w:t>Constitutional basis</w:t>
            </w:r>
          </w:p>
        </w:tc>
        <w:tc>
          <w:tcPr>
            <w:tcW w:type="dxa" w:w="4561"/>
          </w:tcPr>
          <w:p>
            <w:r>
              <w:rPr>
                <w:b w:val="0"/>
                <w:sz w:val="20"/>
              </w:rPr>
              <w:t>Article 77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and review relevant tax documents and records to verify settlement of outstanding taxes and duties</w:t>
            </w:r>
          </w:p>
        </w:tc>
      </w:tr>
    </w:tbl>
    <w:p/>
    <w:p>
      <w:r>
        <w:rPr>
          <w:b/>
          <w:color w:val="143C6E"/>
          <w:sz w:val="22"/>
        </w:rPr>
        <w:t>Q11. Is the vendor's CNIC number verified and consistent across all transaction documents including the sale deed, NOC, and u</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any information regarding the verification of the vendor's CNIC number or its consistency across transaction documents.</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Request the vendor to provide their CNIC number and verify it across all transaction documents to ensure consistency and authenticity.</w:t>
            </w:r>
          </w:p>
        </w:tc>
      </w:tr>
    </w:tbl>
    <w:p/>
    <w:p>
      <w:r>
        <w:rPr>
          <w:b/>
          <w:color w:val="143C6E"/>
          <w:sz w:val="22"/>
        </w:rPr>
        <w:t>Q12. Are there any co-owners, inherited co-sharers, legal heirs, or third-party interests in the property? If so, is their wr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about co-owners, inherited co-sharers, legal heirs, or third-party interests in the property, nor do they mention written consent to the transfer.</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Transfer of Property Act 1882, Section 40</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property documents and obtain written consent from all co-owners, inherited co-sharers, legal heirs, or third-party interests before proceeding with the transfer.</w:t>
            </w:r>
          </w:p>
        </w:tc>
      </w:tr>
    </w:tbl>
    <w:p/>
    <w:p>
      <w:r>
        <w:rPr>
          <w:b/>
          <w:color w:val="143C6E"/>
          <w:sz w:val="22"/>
        </w:rPr>
        <w:t>Q13. Is the possession transfer date, handover mechanism, and physical possession status explicitly documented?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information found regarding possession transfer date, handover mechanism, and physical possession status</w:t>
            </w:r>
          </w:p>
        </w:tc>
      </w:tr>
      <w:tr>
        <w:tc>
          <w:tcPr>
            <w:tcW w:type="dxa" w:w="4561"/>
          </w:tcPr>
          <w:p>
            <w:r>
              <w:rPr>
                <w:b/>
                <w:color w:val="143C6E"/>
                <w:sz w:val="20"/>
              </w:rPr>
              <w:t>Reasoning</w:t>
            </w:r>
          </w:p>
        </w:tc>
        <w:tc>
          <w:tcPr>
            <w:tcW w:type="dxa" w:w="4561"/>
          </w:tcPr>
          <w:p>
            <w:r>
              <w:rPr>
                <w:b w:val="0"/>
                <w:sz w:val="20"/>
              </w:rPr>
              <w:t>The provided context does not mention the possession transfer date, handover mechanism, and physical possession status. The context primarily discusses the problem statement, proposed solution, and submission requirements for an AI/ML internship project focused on law firm document review.</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Review the Transfer of Property Act 1882 and relevant case laws to determine the requirements for documenting possession transfer date, handover mechanism, and physical possession status</w:t>
            </w:r>
          </w:p>
        </w:tc>
      </w:tr>
    </w:tbl>
    <w:p/>
    <w:p>
      <w:r>
        <w:rPr>
          <w:b/>
          <w:color w:val="143C6E"/>
          <w:sz w:val="22"/>
        </w:rPr>
        <w:t>Q14. Are all conditions precedent to the transfer clearly identified and confirmed as satisfied? List any outstanding conditi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documents do not contain specific details regarding conditions precedent to a transfer, nor do they confirm satisfaction of such conditions. The documents primarily discuss the problem statement, proposed solution, and technical architecture for a Retrieval-Augmented Generation (RAG) document review system.</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Transfer of Property Act 1882, Section 3 (definition of transfer of property)</w:t>
            </w:r>
          </w:p>
        </w:tc>
      </w:tr>
      <w:tr>
        <w:tc>
          <w:tcPr>
            <w:tcW w:type="dxa" w:w="4561"/>
          </w:tcPr>
          <w:p>
            <w:r>
              <w:rPr>
                <w:b/>
                <w:color w:val="143C6E"/>
                <w:sz w:val="20"/>
              </w:rPr>
              <w:t>Constitutional basis</w:t>
            </w:r>
          </w:p>
        </w:tc>
        <w:tc>
          <w:tcPr>
            <w:tcW w:type="dxa" w:w="4561"/>
          </w:tcPr>
          <w:p>
            <w:r>
              <w:rPr>
                <w:b w:val="0"/>
                <w:sz w:val="20"/>
              </w:rPr>
              <w:t>Article 23 of the Constitution of Pakistan 1973 (protection of property rights)</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specific transfer documents and agreements to identify and confirm satisfaction of all conditions precedent.</w:t>
            </w:r>
          </w:p>
        </w:tc>
      </w:tr>
    </w:tbl>
    <w:p/>
    <w:p>
      <w:r>
        <w:rPr>
          <w:b/>
          <w:color w:val="143C6E"/>
          <w:sz w:val="22"/>
        </w:rPr>
        <w:t>Q15. Is there a registered mutation (Intiqal) on record from LRMIS? Is the Fard-e-Malkiat consistent with the Registry? Is th</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response received.</w:t>
            </w:r>
          </w:p>
        </w:tc>
      </w:tr>
      <w:tr>
        <w:tc>
          <w:tcPr>
            <w:tcW w:type="dxa" w:w="4561"/>
          </w:tcPr>
          <w:p>
            <w:r>
              <w:rPr>
                <w:b/>
                <w:color w:val="143C6E"/>
                <w:sz w:val="20"/>
              </w:rPr>
              <w:t>Reasoning</w:t>
            </w:r>
          </w:p>
        </w:tc>
        <w:tc>
          <w:tcPr>
            <w:tcW w:type="dxa" w:w="4561"/>
          </w:tcPr>
          <w:p>
            <w:r>
              <w:rPr>
                <w:b w:val="0"/>
                <w:sz w:val="20"/>
              </w:rPr>
              <w:t>Could not parse structured response.</w:t>
            </w:r>
          </w:p>
        </w:tc>
      </w:tr>
      <w:tr>
        <w:tc>
          <w:tcPr>
            <w:tcW w:type="dxa" w:w="4561"/>
          </w:tcPr>
          <w:p>
            <w:r>
              <w:rPr>
                <w:b/>
                <w:color w:val="143C6E"/>
                <w:sz w:val="20"/>
              </w:rPr>
              <w:t>Document citation</w:t>
            </w:r>
          </w:p>
        </w:tc>
        <w:tc>
          <w:tcPr>
            <w:tcW w:type="dxa" w:w="4561"/>
          </w:tcPr>
          <w:p>
            <w:r>
              <w:rPr>
                <w:b w:val="0"/>
                <w:sz w:val="20"/>
              </w:rPr>
              <w:t>See raw response</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Manual review required for this item.</w:t>
            </w:r>
          </w:p>
        </w:tc>
      </w:tr>
    </w:tbl>
    <w:p/>
    <w:p>
      <w:pPr>
        <w:spacing w:before="160" w:after="80"/>
      </w:pPr>
      <w:r>
        <w:rPr>
          <w:b/>
          <w:color w:val="143C6E"/>
          <w:sz w:val="26"/>
        </w:rPr>
        <w:t>5. FBR &amp; AML Compliance Assessment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Detected transaction value</w:t>
            </w:r>
          </w:p>
        </w:tc>
        <w:tc>
          <w:tcPr>
            <w:tcW w:type="dxa" w:w="4561"/>
          </w:tcPr>
          <w:p>
            <w:r>
              <w:rPr>
                <w:b w:val="0"/>
                <w:sz w:val="20"/>
              </w:rPr>
              <w:t>Not detected in documents</w:t>
            </w:r>
          </w:p>
        </w:tc>
      </w:tr>
      <w:tr>
        <w:tc>
          <w:tcPr>
            <w:tcW w:type="dxa" w:w="4561"/>
          </w:tcPr>
          <w:p>
            <w:r>
              <w:rPr>
                <w:b/>
                <w:color w:val="143C6E"/>
                <w:sz w:val="20"/>
              </w:rPr>
              <w:t>FBR withholding tax applicable</w:t>
              <w:br/>
              <w:t>(Section 236C/236K — above PKR 5M)</w:t>
            </w:r>
          </w:p>
        </w:tc>
        <w:tc>
          <w:tcPr>
            <w:tcW w:type="dxa" w:w="4561"/>
          </w:tcPr>
          <w:p>
            <w:r>
              <w:rPr>
                <w:b w:val="0"/>
                <w:sz w:val="20"/>
              </w:rPr>
              <w:t>No — Below PKR 5,000,000 threshold</w:t>
            </w:r>
          </w:p>
        </w:tc>
      </w:tr>
      <w:tr>
        <w:tc>
          <w:tcPr>
            <w:tcW w:type="dxa" w:w="4561"/>
          </w:tcPr>
          <w:p>
            <w:r>
              <w:rPr>
                <w:b/>
                <w:color w:val="143C6E"/>
                <w:sz w:val="20"/>
              </w:rPr>
              <w:t>Enhanced AML due diligence required</w:t>
              <w:br/>
              <w:t>(AML Act 2010 — above PKR 10M)</w:t>
            </w:r>
          </w:p>
        </w:tc>
        <w:tc>
          <w:tcPr>
            <w:tcW w:type="dxa" w:w="4561"/>
          </w:tcPr>
          <w:p>
            <w:r>
              <w:rPr>
                <w:b w:val="0"/>
                <w:sz w:val="20"/>
              </w:rPr>
              <w:t>No — Below PKR 10,000,000 threshold</w:t>
            </w:r>
          </w:p>
        </w:tc>
      </w:tr>
      <w:tr>
        <w:tc>
          <w:tcPr>
            <w:tcW w:type="dxa" w:w="4561"/>
          </w:tcPr>
          <w:p>
            <w:r>
              <w:rPr>
                <w:b/>
                <w:color w:val="143C6E"/>
                <w:sz w:val="20"/>
              </w:rPr>
              <w:t>AML risk indicators detected</w:t>
            </w:r>
          </w:p>
        </w:tc>
        <w:tc>
          <w:tcPr>
            <w:tcW w:type="dxa" w:w="4561"/>
          </w:tcPr>
          <w:p>
            <w:r>
              <w:rPr>
                <w:b w:val="0"/>
                <w:sz w:val="20"/>
              </w:rPr>
              <w:t>None detected</w:t>
            </w:r>
          </w:p>
        </w:tc>
      </w:tr>
      <w:tr>
        <w:tc>
          <w:tcPr>
            <w:tcW w:type="dxa" w:w="4561"/>
          </w:tcPr>
          <w:p>
            <w:r>
              <w:rPr>
                <w:b/>
                <w:color w:val="143C6E"/>
                <w:sz w:val="20"/>
              </w:rPr>
              <w:t>Urdu content detected in documents</w:t>
            </w:r>
          </w:p>
        </w:tc>
        <w:tc>
          <w:tcPr>
            <w:tcW w:type="dxa" w:w="4561"/>
          </w:tcPr>
          <w:p>
            <w:r>
              <w:rPr>
                <w:b w:val="0"/>
                <w:sz w:val="20"/>
              </w:rPr>
              <w:t>No — English-only document</w:t>
            </w:r>
          </w:p>
        </w:tc>
      </w:tr>
      <w:tr>
        <w:tc>
          <w:tcPr>
            <w:tcW w:type="dxa" w:w="4561"/>
          </w:tcPr>
          <w:p>
            <w:r>
              <w:rPr>
                <w:b/>
                <w:color w:val="143C6E"/>
                <w:sz w:val="20"/>
              </w:rPr>
              <w:t>OCR applied to scanned pages</w:t>
            </w:r>
          </w:p>
        </w:tc>
        <w:tc>
          <w:tcPr>
            <w:tcW w:type="dxa" w:w="4561"/>
          </w:tcPr>
          <w:p>
            <w:r>
              <w:rPr>
                <w:b w:val="0"/>
                <w:sz w:val="20"/>
              </w:rPr>
              <w:t>No — All pages are text-based</w:t>
            </w:r>
          </w:p>
        </w:tc>
      </w:tr>
    </w:tbl>
    <w:p/>
    <w:p>
      <w:pPr>
        <w:spacing w:before="160" w:after="80"/>
      </w:pPr>
      <w:r>
        <w:rPr>
          <w:b/>
          <w:color w:val="143C6E"/>
          <w:sz w:val="26"/>
        </w:rPr>
        <w:t>6. Missing Documents</w:t>
      </w:r>
    </w:p>
    <w:p>
      <w:pPr>
        <w:pStyle w:val="ListBullet"/>
      </w:pPr>
      <w:r>
        <w:rPr>
          <w:color w:val="AA2323"/>
        </w:rPr>
        <w:t>Inheritance documents</w:t>
      </w:r>
    </w:p>
    <w:p>
      <w:pPr>
        <w:pStyle w:val="ListBullet"/>
      </w:pPr>
      <w:r>
        <w:rPr>
          <w:color w:val="AA2323"/>
        </w:rPr>
        <w:t>Land use classification documents</w:t>
      </w:r>
    </w:p>
    <w:p>
      <w:pPr>
        <w:pStyle w:val="ListBullet"/>
      </w:pPr>
      <w:r>
        <w:rPr>
          <w:color w:val="AA2323"/>
        </w:rPr>
        <w:t>Sale agreement</w:t>
      </w:r>
    </w:p>
    <w:p>
      <w:pPr>
        <w:pStyle w:val="ListBullet"/>
      </w:pPr>
      <w:r>
        <w:rPr>
          <w:color w:val="AA2323"/>
        </w:rPr>
        <w:t>Title documents</w:t>
      </w:r>
    </w:p>
    <w:p>
      <w:pPr>
        <w:pStyle w:val="ListBullet"/>
      </w:pPr>
      <w:r>
        <w:rPr>
          <w:color w:val="AA2323"/>
        </w:rPr>
        <w:t>Co-ownership agreement</w:t>
      </w:r>
    </w:p>
    <w:p>
      <w:pPr>
        <w:pStyle w:val="ListBullet"/>
      </w:pPr>
      <w:r>
        <w:rPr>
          <w:color w:val="AA2323"/>
        </w:rPr>
        <w:t>Property title documents</w:t>
      </w:r>
    </w:p>
    <w:p>
      <w:pPr>
        <w:pStyle w:val="ListBullet"/>
      </w:pPr>
      <w:r>
        <w:rPr>
          <w:color w:val="AA2323"/>
        </w:rPr>
        <w:t>Title deed</w:t>
      </w:r>
    </w:p>
    <w:p>
      <w:pPr>
        <w:pStyle w:val="ListBullet"/>
      </w:pPr>
      <w:r>
        <w:rPr>
          <w:color w:val="AA2323"/>
        </w:rPr>
        <w:t>tax records</w:t>
      </w:r>
    </w:p>
    <w:p>
      <w:pPr>
        <w:pStyle w:val="ListBullet"/>
      </w:pPr>
      <w:r>
        <w:rPr>
          <w:color w:val="AA2323"/>
        </w:rPr>
        <w:t>Payment receipts</w:t>
      </w:r>
    </w:p>
    <w:p>
      <w:pPr>
        <w:pStyle w:val="ListBullet"/>
      </w:pPr>
      <w:r>
        <w:rPr>
          <w:color w:val="AA2323"/>
        </w:rPr>
        <w:t>Original documents with signatures, attestations, thumb impressions, and notarial certifications</w:t>
      </w:r>
    </w:p>
    <w:p>
      <w:pPr>
        <w:pStyle w:val="ListBullet"/>
      </w:pPr>
      <w:r>
        <w:rPr>
          <w:color w:val="AA2323"/>
        </w:rPr>
        <w:t>Property documents</w:t>
      </w:r>
    </w:p>
    <w:p>
      <w:pPr>
        <w:pStyle w:val="ListBullet"/>
      </w:pPr>
      <w:r>
        <w:rPr>
          <w:color w:val="AA2323"/>
        </w:rPr>
        <w:t>transfer documents</w:t>
      </w:r>
    </w:p>
    <w:p>
      <w:pPr>
        <w:pStyle w:val="ListBullet"/>
      </w:pPr>
      <w:r>
        <w:rPr>
          <w:color w:val="AA2323"/>
        </w:rPr>
        <w:t>Possession transfer agreement</w:t>
      </w:r>
    </w:p>
    <w:p>
      <w:pPr>
        <w:pStyle w:val="ListBullet"/>
      </w:pPr>
      <w:r>
        <w:rPr>
          <w:color w:val="AA2323"/>
        </w:rPr>
        <w:t>Bank statements</w:t>
      </w:r>
    </w:p>
    <w:p>
      <w:pPr>
        <w:pStyle w:val="ListBullet"/>
      </w:pPr>
      <w:r>
        <w:rPr>
          <w:color w:val="AA2323"/>
        </w:rPr>
        <w:t>Search reports</w:t>
      </w:r>
    </w:p>
    <w:p>
      <w:pPr>
        <w:pStyle w:val="ListBullet"/>
      </w:pPr>
      <w:r>
        <w:rPr>
          <w:color w:val="AA2323"/>
        </w:rPr>
        <w:t>Vendor's CNIC number verification document</w:t>
      </w:r>
    </w:p>
    <w:p>
      <w:pPr>
        <w:pStyle w:val="ListBullet"/>
      </w:pPr>
      <w:r>
        <w:rPr>
          <w:color w:val="AA2323"/>
        </w:rPr>
        <w:t>Utility bills</w:t>
      </w:r>
    </w:p>
    <w:p>
      <w:pPr>
        <w:pStyle w:val="ListBullet"/>
      </w:pPr>
      <w:r>
        <w:rPr>
          <w:color w:val="AA2323"/>
        </w:rPr>
        <w:t>payment receipts</w:t>
      </w:r>
    </w:p>
    <w:p>
      <w:pPr>
        <w:pStyle w:val="ListBullet"/>
      </w:pPr>
      <w:r>
        <w:rPr>
          <w:color w:val="AA2323"/>
        </w:rPr>
        <w:t>Vendor information</w:t>
      </w:r>
    </w:p>
    <w:p>
      <w:pPr>
        <w:pStyle w:val="ListBullet"/>
      </w:pPr>
      <w:r>
        <w:rPr>
          <w:color w:val="AA2323"/>
        </w:rPr>
        <w:t>Handover protocol</w:t>
      </w:r>
    </w:p>
    <w:p>
      <w:pPr>
        <w:pStyle w:val="ListBullet"/>
      </w:pPr>
      <w:r>
        <w:rPr>
          <w:color w:val="AA2323"/>
        </w:rPr>
        <w:t>Sale deed</w:t>
      </w:r>
    </w:p>
    <w:p>
      <w:pPr>
        <w:pStyle w:val="ListBullet"/>
      </w:pPr>
      <w:r>
        <w:rPr>
          <w:color w:val="AA2323"/>
        </w:rPr>
        <w:t>Property deed</w:t>
      </w:r>
    </w:p>
    <w:p>
      <w:pPr>
        <w:pStyle w:val="ListBullet"/>
      </w:pPr>
      <w:r>
        <w:rPr>
          <w:color w:val="AA2323"/>
        </w:rPr>
        <w:t>Registration certificate</w:t>
      </w:r>
    </w:p>
    <w:p>
      <w:pPr>
        <w:pStyle w:val="ListBullet"/>
      </w:pPr>
      <w:r>
        <w:rPr>
          <w:color w:val="AA2323"/>
        </w:rPr>
        <w:t>Registration certificates</w:t>
      </w:r>
    </w:p>
    <w:p>
      <w:pPr>
        <w:pStyle w:val="ListBullet"/>
      </w:pPr>
      <w:r>
        <w:rPr>
          <w:color w:val="AA2323"/>
        </w:rPr>
        <w:t>NOCs from LDA/CDA/RDA/TMA and other local authorities</w:t>
      </w:r>
    </w:p>
    <w:p>
      <w:pPr>
        <w:pStyle w:val="ListBullet"/>
      </w:pPr>
      <w:r>
        <w:rPr>
          <w:color w:val="AA2323"/>
        </w:rPr>
        <w:t>NOC</w:t>
      </w:r>
    </w:p>
    <w:p>
      <w:pPr>
        <w:pStyle w:val="ListBullet"/>
      </w:pPr>
      <w:r>
        <w:rPr>
          <w:color w:val="AA2323"/>
        </w:rPr>
        <w:t>agreements</w:t>
      </w:r>
    </w:p>
    <w:p>
      <w:pPr>
        <w:pStyle w:val="ListBullet"/>
      </w:pPr>
      <w:r>
        <w:rPr>
          <w:color w:val="AA2323"/>
        </w:rPr>
        <w:t>Zoning regulations</w:t>
      </w:r>
    </w:p>
    <w:p/>
    <w:p>
      <w:pPr>
        <w:spacing w:before="160" w:after="80"/>
      </w:pPr>
      <w:r>
        <w:rPr>
          <w:b/>
          <w:color w:val="143C6E"/>
          <w:sz w:val="26"/>
        </w:rPr>
        <w:t>7. Disclaimer</w:t>
      </w:r>
    </w:p>
    <w:p>
      <w:r>
        <w:rPr>
          <w:color w:val="0070A4"/>
          <w:sz w:val="18"/>
        </w:rPr>
        <w:t>This memorandum has been generated with the assistance of an AI-powered legal review system and must be reviewed, verified, and approved by a qualified Pakistani advocate before being relied upon. It does not constitute legal advice. All findings should be independently verified against original documents.</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0070A4"/>
        <w:sz w:val="18"/>
      </w:rPr>
      <w:t>Law Firm — Legal Due Diligence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