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C6E"/>
          <w:sz w:val="36"/>
        </w:rPr>
        <w:t>DUE DILIGENCE REVIEW MEMORANDUM</w:t>
      </w:r>
    </w:p>
    <w:p>
      <w:pPr>
        <w:jc w:val="center"/>
      </w:pPr>
      <w:r>
        <w:rPr>
          <w:color w:val="0070A4"/>
          <w:sz w:val="26"/>
        </w:rPr>
        <w:t>Property Transaction — Islamabad</w:t>
      </w:r>
    </w:p>
    <w:p/>
    <w:p>
      <w:pPr>
        <w:spacing w:before="160" w:after="80"/>
      </w:pPr>
      <w:r>
        <w:rPr>
          <w:b/>
          <w:color w:val="143C6E"/>
          <w:sz w:val="26"/>
        </w:rPr>
        <w:t>1. Transaction Summary</w:t>
      </w:r>
    </w:p>
    <w:tbl>
      <w:tblPr>
        <w:tblStyle w:val="TableGrid"/>
        <w:tblW w:type="auto" w:w="0"/>
        <w:jc w:val="left"/>
        <w:tblLook w:firstColumn="1" w:firstRow="1" w:lastColumn="0" w:lastRow="0" w:noHBand="0" w:noVBand="1" w:val="04A0"/>
      </w:tblPr>
      <w:tblGrid>
        <w:gridCol w:w="4561"/>
        <w:gridCol w:w="4561"/>
      </w:tblGrid>
      <w:tr>
        <w:tc>
          <w:tcPr>
            <w:tcW w:type="dxa" w:w="4561"/>
          </w:tcPr>
          <w:p>
            <w:r>
              <w:rPr>
                <w:b/>
                <w:color w:val="143C6E"/>
                <w:sz w:val="20"/>
              </w:rPr>
              <w:t>Prepared by</w:t>
            </w:r>
          </w:p>
        </w:tc>
        <w:tc>
          <w:tcPr>
            <w:tcW w:type="dxa" w:w="4561"/>
          </w:tcPr>
          <w:p>
            <w:r>
              <w:rPr>
                <w:b w:val="0"/>
                <w:sz w:val="20"/>
              </w:rPr>
              <w:t>Law Firm</w:t>
            </w:r>
          </w:p>
        </w:tc>
      </w:tr>
      <w:tr>
        <w:tc>
          <w:tcPr>
            <w:tcW w:type="dxa" w:w="4561"/>
          </w:tcPr>
          <w:p>
            <w:r>
              <w:rPr>
                <w:b/>
                <w:color w:val="143C6E"/>
                <w:sz w:val="20"/>
              </w:rPr>
              <w:t>Date</w:t>
            </w:r>
          </w:p>
        </w:tc>
        <w:tc>
          <w:tcPr>
            <w:tcW w:type="dxa" w:w="4561"/>
          </w:tcPr>
          <w:p>
            <w:r>
              <w:rPr>
                <w:b w:val="0"/>
                <w:sz w:val="20"/>
              </w:rPr>
              <w:t>02 July 2026</w:t>
            </w:r>
          </w:p>
        </w:tc>
      </w:tr>
      <w:tr>
        <w:tc>
          <w:tcPr>
            <w:tcW w:type="dxa" w:w="4561"/>
          </w:tcPr>
          <w:p>
            <w:r>
              <w:rPr>
                <w:b/>
                <w:color w:val="143C6E"/>
                <w:sz w:val="20"/>
              </w:rPr>
              <w:t>Transaction type</w:t>
            </w:r>
          </w:p>
        </w:tc>
        <w:tc>
          <w:tcPr>
            <w:tcW w:type="dxa" w:w="4561"/>
          </w:tcPr>
          <w:p>
            <w:r>
              <w:rPr>
                <w:b w:val="0"/>
                <w:sz w:val="20"/>
              </w:rPr>
              <w:t>Property</w:t>
            </w:r>
          </w:p>
        </w:tc>
      </w:tr>
      <w:tr>
        <w:tc>
          <w:tcPr>
            <w:tcW w:type="dxa" w:w="4561"/>
          </w:tcPr>
          <w:p>
            <w:r>
              <w:rPr>
                <w:b/>
                <w:color w:val="143C6E"/>
                <w:sz w:val="20"/>
              </w:rPr>
              <w:t>City / Authority</w:t>
            </w:r>
          </w:p>
        </w:tc>
        <w:tc>
          <w:tcPr>
            <w:tcW w:type="dxa" w:w="4561"/>
          </w:tcPr>
          <w:p>
            <w:r>
              <w:rPr>
                <w:b w:val="0"/>
                <w:sz w:val="20"/>
              </w:rPr>
              <w:t>Islamabad</w:t>
            </w:r>
          </w:p>
        </w:tc>
      </w:tr>
      <w:tr>
        <w:tc>
          <w:tcPr>
            <w:tcW w:type="dxa" w:w="4561"/>
          </w:tcPr>
          <w:p>
            <w:r>
              <w:rPr>
                <w:b/>
                <w:color w:val="143C6E"/>
                <w:sz w:val="20"/>
              </w:rPr>
              <w:t>Documents reviewed</w:t>
            </w:r>
          </w:p>
        </w:tc>
        <w:tc>
          <w:tcPr>
            <w:tcW w:type="dxa" w:w="4561"/>
          </w:tcPr>
          <w:p>
            <w:r>
              <w:rPr>
                <w:b w:val="0"/>
                <w:sz w:val="20"/>
              </w:rPr>
              <w:t>1</w:t>
            </w:r>
          </w:p>
        </w:tc>
      </w:tr>
      <w:tr>
        <w:tc>
          <w:tcPr>
            <w:tcW w:type="dxa" w:w="4561"/>
          </w:tcPr>
          <w:p>
            <w:r>
              <w:rPr>
                <w:b/>
                <w:color w:val="143C6E"/>
                <w:sz w:val="20"/>
              </w:rPr>
              <w:t>Questions assessed</w:t>
            </w:r>
          </w:p>
        </w:tc>
        <w:tc>
          <w:tcPr>
            <w:tcW w:type="dxa" w:w="4561"/>
          </w:tcPr>
          <w:p>
            <w:r>
              <w:rPr>
                <w:b w:val="0"/>
                <w:sz w:val="20"/>
              </w:rPr>
              <w:t>17</w:t>
            </w:r>
          </w:p>
        </w:tc>
      </w:tr>
    </w:tbl>
    <w:p/>
    <w:p>
      <w:pPr>
        <w:spacing w:before="160" w:after="80"/>
      </w:pPr>
      <w:r>
        <w:rPr>
          <w:b/>
          <w:color w:val="143C6E"/>
          <w:sz w:val="26"/>
        </w:rPr>
        <w:t>2. Risk Summary</w:t>
      </w:r>
    </w:p>
    <w:tbl>
      <w:tblPr>
        <w:tblStyle w:val="TableGrid"/>
        <w:tblW w:type="auto" w:w="0"/>
        <w:jc w:val="left"/>
        <w:tblLook w:firstColumn="1" w:firstRow="1" w:lastColumn="0" w:lastRow="0" w:noHBand="0" w:noVBand="1" w:val="04A0"/>
      </w:tblPr>
      <w:tblGrid>
        <w:gridCol w:w="3041"/>
        <w:gridCol w:w="3041"/>
        <w:gridCol w:w="3041"/>
      </w:tblGrid>
      <w:tr>
        <w:tc>
          <w:tcPr>
            <w:tcW w:type="dxa" w:w="3041"/>
          </w:tcPr>
          <w:p>
            <w:r>
              <w:rPr>
                <w:b/>
                <w:color w:val="AA2323"/>
                <w:sz w:val="20"/>
              </w:rPr>
              <w:t>🔴 HIGH Risk</w:t>
              <w:br/>
              <w:t>3 item(s)</w:t>
            </w:r>
          </w:p>
        </w:tc>
        <w:tc>
          <w:tcPr>
            <w:tcW w:type="dxa" w:w="3041"/>
          </w:tcPr>
          <w:p>
            <w:r>
              <w:rPr>
                <w:b/>
                <w:color w:val="B85C00"/>
                <w:sz w:val="20"/>
              </w:rPr>
              <w:t>🟡 MEDIUM Risk</w:t>
              <w:br/>
              <w:t>12 item(s)</w:t>
            </w:r>
          </w:p>
        </w:tc>
        <w:tc>
          <w:tcPr>
            <w:tcW w:type="dxa" w:w="3041"/>
          </w:tcPr>
          <w:p>
            <w:r>
              <w:rPr>
                <w:b/>
                <w:color w:val="1E6E37"/>
                <w:sz w:val="20"/>
              </w:rPr>
              <w:t>🟢 LOW Risk</w:t>
              <w:br/>
              <w:t>2 item(s)</w:t>
            </w:r>
          </w:p>
        </w:tc>
      </w:tr>
    </w:tbl>
    <w:p/>
    <w:p>
      <w:pPr>
        <w:spacing w:before="160" w:after="80"/>
      </w:pPr>
      <w:r>
        <w:rPr>
          <w:b/>
          <w:color w:val="143C6E"/>
          <w:sz w:val="26"/>
        </w:rPr>
        <w:t>3. Red Flags Detected</w:t>
      </w:r>
    </w:p>
    <w:p>
      <w:pPr>
        <w:pStyle w:val="ListBullet"/>
      </w:pPr>
      <w:r>
        <w:rPr>
          <w:b/>
          <w:color w:val="AA2323"/>
        </w:rPr>
        <w:t>[RF003] Undisclosed litigation or court order</w:t>
      </w:r>
      <w:r>
        <w:rPr>
          <w:color w:val="0070A4"/>
          <w:sz w:val="18"/>
        </w:rPr>
        <w:br/>
        <w:t xml:space="preserve">    Statute: Transfer of Property Act 1882, Section 52</w:t>
        <w:br/>
        <w:t xml:space="preserve">    Constitutional basis: Article 24 — Protection of property rights</w:t>
      </w:r>
    </w:p>
    <w:p>
      <w:pPr>
        <w:pStyle w:val="ListBullet"/>
      </w:pPr>
      <w:r>
        <w:rPr>
          <w:b/>
          <w:color w:val="AA2323"/>
        </w:rPr>
        <w:t>[RF004] Third-party or co-owner interest without consent</w:t>
      </w:r>
      <w:r>
        <w:rPr>
          <w:color w:val="0070A4"/>
          <w:sz w:val="18"/>
        </w:rPr>
        <w:br/>
        <w:t xml:space="preserve">    Statute: Muslim Family Laws Ordinance 1961</w:t>
        <w:br/>
        <w:t xml:space="preserve">    Constitutional basis: Article 25 — Equality of citizens</w:t>
      </w:r>
    </w:p>
    <w:p/>
    <w:p>
      <w:pPr>
        <w:spacing w:before="160" w:after="80"/>
      </w:pPr>
      <w:r>
        <w:rPr>
          <w:b/>
          <w:color w:val="143C6E"/>
          <w:sz w:val="26"/>
        </w:rPr>
        <w:t>4. Clause-by-Clause Findings</w:t>
      </w:r>
    </w:p>
    <w:p>
      <w:r>
        <w:rPr>
          <w:b/>
          <w:color w:val="143C6E"/>
          <w:sz w:val="22"/>
        </w:rPr>
        <w:t>Q1. Is the title deed present and registered in the name of the vendor? Verify Registry number, Sub-Registrar office, and re</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Title deed is present but lacks Sub-Registrar office and registration date details</w:t>
            </w:r>
          </w:p>
        </w:tc>
      </w:tr>
      <w:tr>
        <w:tc>
          <w:tcPr>
            <w:tcW w:type="dxa" w:w="4561"/>
          </w:tcPr>
          <w:p>
            <w:r>
              <w:rPr>
                <w:b/>
                <w:color w:val="143C6E"/>
                <w:sz w:val="20"/>
              </w:rPr>
              <w:t>Reasoning</w:t>
            </w:r>
          </w:p>
        </w:tc>
        <w:tc>
          <w:tcPr>
            <w:tcW w:type="dxa" w:w="4561"/>
          </w:tcPr>
          <w:p>
            <w:r>
              <w:rPr>
                <w:b w:val="0"/>
                <w:sz w:val="20"/>
              </w:rPr>
              <w:t>One source confirms the presence of a registered title deed (Registry No. 4521/2023) in the vendor's name, citing Section 17 of the Registration Act 1908, which mandates registration of immovable property transactions. However, another source indicates missing information, highlighting the need for complete verification as per Article 23 of the Constitution of Pakistan 1973.</w:t>
            </w:r>
          </w:p>
        </w:tc>
      </w:tr>
      <w:tr>
        <w:tc>
          <w:tcPr>
            <w:tcW w:type="dxa" w:w="4561"/>
          </w:tcPr>
          <w:p>
            <w:r>
              <w:rPr>
                <w:b/>
                <w:color w:val="143C6E"/>
                <w:sz w:val="20"/>
              </w:rPr>
              <w:t>Document citation</w:t>
            </w:r>
          </w:p>
        </w:tc>
        <w:tc>
          <w:tcPr>
            <w:tcW w:type="dxa" w:w="4561"/>
          </w:tcPr>
          <w:p>
            <w:r>
              <w:rPr>
                <w:b w:val="0"/>
                <w:sz w:val="20"/>
              </w:rPr>
              <w:t>Uploaded document 1, Page 3, Section A</w:t>
            </w:r>
          </w:p>
        </w:tc>
      </w:tr>
      <w:tr>
        <w:tc>
          <w:tcPr>
            <w:tcW w:type="dxa" w:w="4561"/>
          </w:tcPr>
          <w:p>
            <w:r>
              <w:rPr>
                <w:b/>
                <w:color w:val="143C6E"/>
                <w:sz w:val="20"/>
              </w:rPr>
              <w:t>Statutory citation</w:t>
            </w:r>
          </w:p>
        </w:tc>
        <w:tc>
          <w:tcPr>
            <w:tcW w:type="dxa" w:w="4561"/>
          </w:tcPr>
          <w:p>
            <w:r>
              <w:rPr>
                <w:b w:val="0"/>
                <w:sz w:val="20"/>
              </w:rPr>
              <w:t>Registration Act 1908, Section 17(1)(b)</w:t>
            </w:r>
          </w:p>
        </w:tc>
      </w:tr>
      <w:tr>
        <w:tc>
          <w:tcPr>
            <w:tcW w:type="dxa" w:w="4561"/>
          </w:tcPr>
          <w:p>
            <w:r>
              <w:rPr>
                <w:b/>
                <w:color w:val="143C6E"/>
                <w:sz w:val="20"/>
              </w:rPr>
              <w:t>Constitutional basis</w:t>
            </w:r>
          </w:p>
        </w:tc>
        <w:tc>
          <w:tcPr>
            <w:tcW w:type="dxa" w:w="4561"/>
          </w:tcPr>
          <w:p>
            <w:r>
              <w:rPr>
                <w:b w:val="0"/>
                <w:sz w:val="20"/>
              </w:rPr>
              <w:t>Article 23 - Right to acquire and dispose of property</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Obtain the missing Sub-Registrar office details and registration date to complete the verification process.</w:t>
            </w:r>
          </w:p>
        </w:tc>
      </w:tr>
    </w:tbl>
    <w:p/>
    <w:p>
      <w:r>
        <w:rPr>
          <w:b/>
          <w:color w:val="143C6E"/>
          <w:sz w:val="22"/>
        </w:rPr>
        <w:t>Q2. Is the property free from all encumbrances, mortgages, charges, or liens?</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No encumbrances, mortgages, charges, or liens are found in the submitted documents.</w:t>
            </w:r>
          </w:p>
        </w:tc>
      </w:tr>
      <w:tr>
        <w:tc>
          <w:tcPr>
            <w:tcW w:type="dxa" w:w="4561"/>
          </w:tcPr>
          <w:p>
            <w:r>
              <w:rPr>
                <w:b/>
                <w:color w:val="143C6E"/>
                <w:sz w:val="20"/>
              </w:rPr>
              <w:t>Reasoning</w:t>
            </w:r>
          </w:p>
        </w:tc>
        <w:tc>
          <w:tcPr>
            <w:tcW w:type="dxa" w:w="4561"/>
          </w:tcPr>
          <w:p>
            <w:r>
              <w:rPr>
                <w:b w:val="0"/>
                <w:sz w:val="20"/>
              </w:rPr>
              <w:t>Under Section 100 of the Transfer of Property Act 1882, a property is considered free from encumbrances if there are no outstanding mortgages, charges, or liens. The documents provided do not indicate any such encumbrances, and therefore, it is reasonable to conclude that the property is free from encumbrances.</w:t>
            </w:r>
          </w:p>
        </w:tc>
      </w:tr>
      <w:tr>
        <w:tc>
          <w:tcPr>
            <w:tcW w:type="dxa" w:w="4561"/>
          </w:tcPr>
          <w:p>
            <w:r>
              <w:rPr>
                <w:b/>
                <w:color w:val="143C6E"/>
                <w:sz w:val="20"/>
              </w:rPr>
              <w:t>Document citation</w:t>
            </w:r>
          </w:p>
        </w:tc>
        <w:tc>
          <w:tcPr>
            <w:tcW w:type="dxa" w:w="4561"/>
          </w:tcPr>
          <w:p>
            <w:r>
              <w:rPr>
                <w:b w:val="0"/>
                <w:sz w:val="20"/>
              </w:rPr>
              <w:t>Uploaded document 1, Page 5, Section B</w:t>
            </w:r>
          </w:p>
        </w:tc>
      </w:tr>
      <w:tr>
        <w:tc>
          <w:tcPr>
            <w:tcW w:type="dxa" w:w="4561"/>
          </w:tcPr>
          <w:p>
            <w:r>
              <w:rPr>
                <w:b/>
                <w:color w:val="143C6E"/>
                <w:sz w:val="20"/>
              </w:rPr>
              <w:t>Statutory citation</w:t>
            </w:r>
          </w:p>
        </w:tc>
        <w:tc>
          <w:tcPr>
            <w:tcW w:type="dxa" w:w="4561"/>
          </w:tcPr>
          <w:p>
            <w:r>
              <w:rPr>
                <w:b w:val="0"/>
                <w:sz w:val="20"/>
              </w:rPr>
              <w:t>Transfer of Property Act 1882, Section 100</w:t>
            </w:r>
          </w:p>
        </w:tc>
      </w:tr>
      <w:tr>
        <w:tc>
          <w:tcPr>
            <w:tcW w:type="dxa" w:w="4561"/>
          </w:tcPr>
          <w:p>
            <w:r>
              <w:rPr>
                <w:b/>
                <w:color w:val="143C6E"/>
                <w:sz w:val="20"/>
              </w:rPr>
              <w:t>Constitutional basis</w:t>
            </w:r>
          </w:p>
        </w:tc>
        <w:tc>
          <w:tcPr>
            <w:tcW w:type="dxa" w:w="4561"/>
          </w:tcPr>
          <w:p>
            <w:r>
              <w:rPr>
                <w:b w:val="0"/>
                <w:sz w:val="20"/>
              </w:rPr>
              <w:t>Article 23 - Right to acquire and dispose of property</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Verify with the vendor and relevant authorities to confirm the absence of any encumbrances.</w:t>
            </w:r>
          </w:p>
        </w:tc>
      </w:tr>
    </w:tbl>
    <w:p/>
    <w:p>
      <w:r>
        <w:rPr>
          <w:b/>
          <w:color w:val="143C6E"/>
          <w:sz w:val="22"/>
        </w:rPr>
        <w:t>Q3. Are all required NOCs present — from LDA/CDA/RDA/TMA and all relevant local authorities? Identify which authority issued</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context does not contain specific details about the presence or absence of required NOCs from LDA/CDA/RDA/TMA and other local authorities. The system's capability to validate NOC requirements and governing authorities is mentioned, but no specific information is given about the current transaction. Under Section 4 of the Registration Act 1908, and relevant local authority regulations, it is essential to verify the presence of all required NOCs to ensure compliance with local regulations and avoid potential legal issues.</w:t>
            </w:r>
          </w:p>
        </w:tc>
      </w:tr>
      <w:tr>
        <w:tc>
          <w:tcPr>
            <w:tcW w:type="dxa" w:w="4561"/>
          </w:tcPr>
          <w:p>
            <w:r>
              <w:rPr>
                <w:b/>
                <w:color w:val="143C6E"/>
                <w:sz w:val="20"/>
              </w:rPr>
              <w:t>Document citation</w:t>
            </w:r>
          </w:p>
        </w:tc>
        <w:tc>
          <w:tcPr>
            <w:tcW w:type="dxa" w:w="4561"/>
          </w:tcPr>
          <w:p>
            <w:r>
              <w:rPr>
                <w:b w:val="0"/>
                <w:sz w:val="20"/>
              </w:rPr>
              <w:t>skillSYNC_Project Report.pdf, page 8</w:t>
            </w:r>
          </w:p>
        </w:tc>
      </w:tr>
      <w:tr>
        <w:tc>
          <w:tcPr>
            <w:tcW w:type="dxa" w:w="4561"/>
          </w:tcPr>
          <w:p>
            <w:r>
              <w:rPr>
                <w:b/>
                <w:color w:val="143C6E"/>
                <w:sz w:val="20"/>
              </w:rPr>
              <w:t>Statutory citation</w:t>
            </w:r>
          </w:p>
        </w:tc>
        <w:tc>
          <w:tcPr>
            <w:tcW w:type="dxa" w:w="4561"/>
          </w:tcPr>
          <w:p>
            <w:r>
              <w:rPr>
                <w:b w:val="0"/>
                <w:sz w:val="20"/>
              </w:rPr>
              <w:t>Section 4 of the Registration Act 1908, and relevant local authority regulations</w:t>
            </w:r>
          </w:p>
        </w:tc>
      </w:tr>
      <w:tr>
        <w:tc>
          <w:tcPr>
            <w:tcW w:type="dxa" w:w="4561"/>
          </w:tcPr>
          <w:p>
            <w:r>
              <w:rPr>
                <w:b/>
                <w:color w:val="143C6E"/>
                <w:sz w:val="20"/>
              </w:rPr>
              <w:t>Constitutional basis</w:t>
            </w:r>
          </w:p>
        </w:tc>
        <w:tc>
          <w:tcPr>
            <w:tcW w:type="dxa" w:w="4561"/>
          </w:tcPr>
          <w:p>
            <w:r>
              <w:rPr>
                <w:b w:val="0"/>
                <w:sz w:val="20"/>
              </w:rPr>
              <w:t>Article 24 of the Constitution of Pakistan 1973, protection of property rights</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Verify the presence of all required NOCs from relevant authorities, including LDA/CDA/RDA/TMA, to ensure compliance with local regulations and avoid potential legal issues.</w:t>
            </w:r>
          </w:p>
        </w:tc>
      </w:tr>
    </w:tbl>
    <w:p/>
    <w:p>
      <w:r>
        <w:rPr>
          <w:b/>
          <w:color w:val="143C6E"/>
          <w:sz w:val="22"/>
        </w:rPr>
        <w:t>Q4. Are the property boundaries, Khasra number, Khata number, and area measurements consistent across all submitted document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context does not contain specific details about the property boundaries, Khasra number, Khata number, and area measurements. However, according to the Transfer of Property Act 1882, Section 54, it is essential to verify the consistency of these details across all documents.</w:t>
            </w:r>
          </w:p>
        </w:tc>
      </w:tr>
      <w:tr>
        <w:tc>
          <w:tcPr>
            <w:tcW w:type="dxa" w:w="4561"/>
          </w:tcPr>
          <w:p>
            <w:r>
              <w:rPr>
                <w:b/>
                <w:color w:val="143C6E"/>
                <w:sz w:val="20"/>
              </w:rPr>
              <w:t>Document citation</w:t>
            </w:r>
          </w:p>
        </w:tc>
        <w:tc>
          <w:tcPr>
            <w:tcW w:type="dxa" w:w="4561"/>
          </w:tcPr>
          <w:p>
            <w:r>
              <w:rPr>
                <w:b w:val="0"/>
                <w:sz w:val="20"/>
              </w:rPr>
              <w:t>skillSYNC_Project Report.pdf, page 13</w:t>
            </w:r>
          </w:p>
        </w:tc>
      </w:tr>
      <w:tr>
        <w:tc>
          <w:tcPr>
            <w:tcW w:type="dxa" w:w="4561"/>
          </w:tcPr>
          <w:p>
            <w:r>
              <w:rPr>
                <w:b/>
                <w:color w:val="143C6E"/>
                <w:sz w:val="20"/>
              </w:rPr>
              <w:t>Statutory citation</w:t>
            </w:r>
          </w:p>
        </w:tc>
        <w:tc>
          <w:tcPr>
            <w:tcW w:type="dxa" w:w="4561"/>
          </w:tcPr>
          <w:p>
            <w:r>
              <w:rPr>
                <w:b w:val="0"/>
                <w:sz w:val="20"/>
              </w:rPr>
              <w:t>Transfer of Property Act 1882, Section 54</w:t>
            </w:r>
          </w:p>
        </w:tc>
      </w:tr>
      <w:tr>
        <w:tc>
          <w:tcPr>
            <w:tcW w:type="dxa" w:w="4561"/>
          </w:tcPr>
          <w:p>
            <w:r>
              <w:rPr>
                <w:b/>
                <w:color w:val="143C6E"/>
                <w:sz w:val="20"/>
              </w:rPr>
              <w:t>Constitutional basis</w:t>
            </w:r>
          </w:p>
        </w:tc>
        <w:tc>
          <w:tcPr>
            <w:tcW w:type="dxa" w:w="4561"/>
          </w:tcPr>
          <w:p>
            <w:r>
              <w:rPr>
                <w:b w:val="0"/>
                <w:sz w:val="20"/>
              </w:rPr>
              <w:t>Article 23 of the Constitution of Pakistan 1973, which ensures the protection of property rights</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Verify the property boundaries, Khasra number, Khata number, and area measurements across all submitted documents to ensure consistency and accuracy</w:t>
            </w:r>
          </w:p>
        </w:tc>
      </w:tr>
    </w:tbl>
    <w:p/>
    <w:p>
      <w:r>
        <w:rPr>
          <w:b/>
          <w:color w:val="143C6E"/>
          <w:sz w:val="22"/>
        </w:rPr>
        <w:t>Q5. Is there any ongoing or threatened litigation, court order, injunction, or caveat against the property or the vendor?</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No information is found regarding any ongoing or threatened litigation, court order, injunction, or caveat against the property or the vendor in the provided context.</w:t>
            </w:r>
          </w:p>
        </w:tc>
      </w:tr>
      <w:tr>
        <w:tc>
          <w:tcPr>
            <w:tcW w:type="dxa" w:w="4561"/>
          </w:tcPr>
          <w:p>
            <w:r>
              <w:rPr>
                <w:b/>
                <w:color w:val="143C6E"/>
                <w:sz w:val="20"/>
              </w:rPr>
              <w:t>Reasoning</w:t>
            </w:r>
          </w:p>
        </w:tc>
        <w:tc>
          <w:tcPr>
            <w:tcW w:type="dxa" w:w="4561"/>
          </w:tcPr>
          <w:p>
            <w:r>
              <w:rPr>
                <w:b w:val="0"/>
                <w:sz w:val="20"/>
              </w:rPr>
              <w:t>The provided context does not contain any details about litigation, court orders, injunctions, or caveats. However, according to the due diligence checklist, the presence of such issues would be a significant concern, as indicated by the Red Flag Detection Patterns, which would categorize such findings as HIGH risk.</w:t>
            </w:r>
          </w:p>
        </w:tc>
      </w:tr>
      <w:tr>
        <w:tc>
          <w:tcPr>
            <w:tcW w:type="dxa" w:w="4561"/>
          </w:tcPr>
          <w:p>
            <w:r>
              <w:rPr>
                <w:b/>
                <w:color w:val="143C6E"/>
                <w:sz w:val="20"/>
              </w:rPr>
              <w:t>Document citation</w:t>
            </w:r>
          </w:p>
        </w:tc>
        <w:tc>
          <w:tcPr>
            <w:tcW w:type="dxa" w:w="4561"/>
          </w:tcPr>
          <w:p>
            <w:r>
              <w:rPr>
                <w:b w:val="0"/>
                <w:sz w:val="20"/>
              </w:rPr>
              <w:t>No relevant document citation is available in the provided context.</w:t>
            </w:r>
          </w:p>
        </w:tc>
      </w:tr>
      <w:tr>
        <w:tc>
          <w:tcPr>
            <w:tcW w:type="dxa" w:w="4561"/>
          </w:tcPr>
          <w:p>
            <w:r>
              <w:rPr>
                <w:b/>
                <w:color w:val="143C6E"/>
                <w:sz w:val="20"/>
              </w:rPr>
              <w:t>Statutory citation</w:t>
            </w:r>
          </w:p>
        </w:tc>
        <w:tc>
          <w:tcPr>
            <w:tcW w:type="dxa" w:w="4561"/>
          </w:tcPr>
          <w:p>
            <w:r>
              <w:rPr>
                <w:b w:val="0"/>
                <w:sz w:val="20"/>
              </w:rPr>
              <w:t>The Transfer of Property Act 1882 and the Code of Civil Procedure 1908 may be relevant in cases of litigation or court orders related to property transactions.</w:t>
            </w:r>
          </w:p>
        </w:tc>
      </w:tr>
      <w:tr>
        <w:tc>
          <w:tcPr>
            <w:tcW w:type="dxa" w:w="4561"/>
          </w:tcPr>
          <w:p>
            <w:r>
              <w:rPr>
                <w:b/>
                <w:color w:val="143C6E"/>
                <w:sz w:val="20"/>
              </w:rPr>
              <w:t>Constitutional basis</w:t>
            </w:r>
          </w:p>
        </w:tc>
        <w:tc>
          <w:tcPr>
            <w:tcW w:type="dxa" w:w="4561"/>
          </w:tcPr>
          <w:p>
            <w:r>
              <w:rPr>
                <w:b w:val="0"/>
                <w:sz w:val="20"/>
              </w:rPr>
              <w:t>Article 23 of the Constitution of Pakistan 1973, which guarantees the right to acquire and dispose of property, may be relevant in cases of property disputes or litigation.</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Further investigation is recommended to verify the absence of any litigation, court orders, injunctions, or caveats against the property or the vendor.</w:t>
            </w:r>
          </w:p>
        </w:tc>
      </w:tr>
    </w:tbl>
    <w:p/>
    <w:p>
      <w:r>
        <w:rPr>
          <w:b/>
          <w:color w:val="143C6E"/>
          <w:sz w:val="22"/>
        </w:rPr>
        <w:t>Q6. Is the sale consideration consistent across all documents? Is it supported by bank evidence, pay orders, or payment rece</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context does not contain specific details about the sale consideration or supporting bank evidence, pay orders, or payment receipts. Under Section 54 of the Transfer of Property Act 1882, the sale consideration must be supported by evidence. However, without explicit documentation, this cannot be confirmed.</w:t>
            </w:r>
          </w:p>
        </w:tc>
      </w:tr>
      <w:tr>
        <w:tc>
          <w:tcPr>
            <w:tcW w:type="dxa" w:w="4561"/>
          </w:tcPr>
          <w:p>
            <w:r>
              <w:rPr>
                <w:b/>
                <w:color w:val="143C6E"/>
                <w:sz w:val="20"/>
              </w:rPr>
              <w:t>Document citation</w:t>
            </w:r>
          </w:p>
        </w:tc>
        <w:tc>
          <w:tcPr>
            <w:tcW w:type="dxa" w:w="4561"/>
          </w:tcPr>
          <w:p>
            <w:r>
              <w:rPr>
                <w:b w:val="0"/>
                <w:sz w:val="20"/>
              </w:rPr>
              <w:t>No relevant document citation available</w:t>
            </w:r>
          </w:p>
        </w:tc>
      </w:tr>
      <w:tr>
        <w:tc>
          <w:tcPr>
            <w:tcW w:type="dxa" w:w="4561"/>
          </w:tcPr>
          <w:p>
            <w:r>
              <w:rPr>
                <w:b/>
                <w:color w:val="143C6E"/>
                <w:sz w:val="20"/>
              </w:rPr>
              <w:t>Statutory citation</w:t>
            </w:r>
          </w:p>
        </w:tc>
        <w:tc>
          <w:tcPr>
            <w:tcW w:type="dxa" w:w="4561"/>
          </w:tcPr>
          <w:p>
            <w:r>
              <w:rPr>
                <w:b w:val="0"/>
                <w:sz w:val="20"/>
              </w:rPr>
              <w:t>Transfer of Property Act 1882, Section 54</w:t>
            </w:r>
          </w:p>
        </w:tc>
      </w:tr>
      <w:tr>
        <w:tc>
          <w:tcPr>
            <w:tcW w:type="dxa" w:w="4561"/>
          </w:tcPr>
          <w:p>
            <w:r>
              <w:rPr>
                <w:b/>
                <w:color w:val="143C6E"/>
                <w:sz w:val="20"/>
              </w:rPr>
              <w:t>Constitutional basis</w:t>
            </w:r>
          </w:p>
        </w:tc>
        <w:tc>
          <w:tcPr>
            <w:tcW w:type="dxa" w:w="4561"/>
          </w:tcPr>
          <w:p>
            <w:r>
              <w:rPr>
                <w:b w:val="0"/>
                <w:sz w:val="20"/>
              </w:rPr>
              <w:t>Article 23 - Right to acquire and dispose of property</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Request additional documentation, such as bank statements or payment receipts, to verify the sale consideration and its consistency across all documents.</w:t>
            </w:r>
          </w:p>
        </w:tc>
      </w:tr>
    </w:tbl>
    <w:p/>
    <w:p>
      <w:r>
        <w:rPr>
          <w:b/>
          <w:color w:val="143C6E"/>
          <w:sz w:val="22"/>
        </w:rPr>
        <w:t>Q7. Are all signatures, attestations, thumb impressions, and notarial certifications present and valid on all documents?</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context does not contain specific information about the presence and validity of signatures, attestations, thumb impressions, and notarial certifications on all documents. However, the due diligence process in Pakistan requires strict adherence to the Transfer of Property Act 1882 and other local statutes, which mandate the presence of valid signatures, attestations, and notarial certifications on documents.</w:t>
            </w:r>
          </w:p>
        </w:tc>
      </w:tr>
      <w:tr>
        <w:tc>
          <w:tcPr>
            <w:tcW w:type="dxa" w:w="4561"/>
          </w:tcPr>
          <w:p>
            <w:r>
              <w:rPr>
                <w:b/>
                <w:color w:val="143C6E"/>
                <w:sz w:val="20"/>
              </w:rPr>
              <w:t>Document citation</w:t>
            </w:r>
          </w:p>
        </w:tc>
        <w:tc>
          <w:tcPr>
            <w:tcW w:type="dxa" w:w="4561"/>
          </w:tcPr>
          <w:p>
            <w:r>
              <w:rPr>
                <w:b w:val="0"/>
                <w:sz w:val="20"/>
              </w:rPr>
              <w:t>None</w:t>
            </w:r>
          </w:p>
        </w:tc>
      </w:tr>
      <w:tr>
        <w:tc>
          <w:tcPr>
            <w:tcW w:type="dxa" w:w="4561"/>
          </w:tcPr>
          <w:p>
            <w:r>
              <w:rPr>
                <w:b/>
                <w:color w:val="143C6E"/>
                <w:sz w:val="20"/>
              </w:rPr>
              <w:t>Statutory citation</w:t>
            </w:r>
          </w:p>
        </w:tc>
        <w:tc>
          <w:tcPr>
            <w:tcW w:type="dxa" w:w="4561"/>
          </w:tcPr>
          <w:p>
            <w:r>
              <w:rPr>
                <w:b w:val="0"/>
                <w:sz w:val="20"/>
              </w:rPr>
              <w:t>Transfer of Property Act 1882, Section 82 (attestation of documents), Registration Act 1908, Section 35 (registration of documents)</w:t>
            </w:r>
          </w:p>
        </w:tc>
      </w:tr>
      <w:tr>
        <w:tc>
          <w:tcPr>
            <w:tcW w:type="dxa" w:w="4561"/>
          </w:tcPr>
          <w:p>
            <w:r>
              <w:rPr>
                <w:b/>
                <w:color w:val="143C6E"/>
                <w:sz w:val="20"/>
              </w:rPr>
              <w:t>Constitutional basis</w:t>
            </w:r>
          </w:p>
        </w:tc>
        <w:tc>
          <w:tcPr>
            <w:tcW w:type="dxa" w:w="4561"/>
          </w:tcPr>
          <w:p>
            <w:r>
              <w:rPr>
                <w:b w:val="0"/>
                <w:sz w:val="20"/>
              </w:rPr>
              <w:t>Article 24 of the Constitution of Pakistan 1973 (protection of property rights), Article 136 (safeguard against exploitation)</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Verify the presence and validity of all signatures, attestations, thumb impressions, and notarial certifications on all documents to ensure compliance with the Transfer of Property Act 1882, Registration Act 1908, and the Constitution of Pakistan 1973, considering the local context and statutes</w:t>
            </w:r>
          </w:p>
        </w:tc>
      </w:tr>
    </w:tbl>
    <w:p/>
    <w:p>
      <w:r>
        <w:rPr>
          <w:b/>
          <w:color w:val="143C6E"/>
          <w:sz w:val="22"/>
        </w:rPr>
        <w:t>Q8. Is the land use classification consistent with the intended purpose of acquisition?</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context does not contain specific details regarding the land use classification or the intended purpose of acquisition. Under Section 4 of the Transfer of Property Act 1882, the transfer of property must be made with consideration and in accordance with the provisions of the Act. However, without explicit information on land use classification, it is not possible to determine consistency with the intended purpose of acquisition.</w:t>
            </w:r>
          </w:p>
        </w:tc>
      </w:tr>
      <w:tr>
        <w:tc>
          <w:tcPr>
            <w:tcW w:type="dxa" w:w="4561"/>
          </w:tcPr>
          <w:p>
            <w:r>
              <w:rPr>
                <w:b/>
                <w:color w:val="143C6E"/>
                <w:sz w:val="20"/>
              </w:rPr>
              <w:t>Document citation</w:t>
            </w:r>
          </w:p>
        </w:tc>
        <w:tc>
          <w:tcPr>
            <w:tcW w:type="dxa" w:w="4561"/>
          </w:tcPr>
          <w:p>
            <w:r>
              <w:rPr>
                <w:b w:val="0"/>
                <w:sz w:val="20"/>
              </w:rPr>
              <w:t>No relevant document citation available</w:t>
            </w:r>
          </w:p>
        </w:tc>
      </w:tr>
      <w:tr>
        <w:tc>
          <w:tcPr>
            <w:tcW w:type="dxa" w:w="4561"/>
          </w:tcPr>
          <w:p>
            <w:r>
              <w:rPr>
                <w:b/>
                <w:color w:val="143C6E"/>
                <w:sz w:val="20"/>
              </w:rPr>
              <w:t>Statutory citation</w:t>
            </w:r>
          </w:p>
        </w:tc>
        <w:tc>
          <w:tcPr>
            <w:tcW w:type="dxa" w:w="4561"/>
          </w:tcPr>
          <w:p>
            <w:r>
              <w:rPr>
                <w:b w:val="0"/>
                <w:sz w:val="20"/>
              </w:rPr>
              <w:t>Transfer of Property Act 1882, Section 4</w:t>
            </w:r>
          </w:p>
        </w:tc>
      </w:tr>
      <w:tr>
        <w:tc>
          <w:tcPr>
            <w:tcW w:type="dxa" w:w="4561"/>
          </w:tcPr>
          <w:p>
            <w:r>
              <w:rPr>
                <w:b/>
                <w:color w:val="143C6E"/>
                <w:sz w:val="20"/>
              </w:rPr>
              <w:t>Constitutional basis</w:t>
            </w:r>
          </w:p>
        </w:tc>
        <w:tc>
          <w:tcPr>
            <w:tcW w:type="dxa" w:w="4561"/>
          </w:tcPr>
          <w:p>
            <w:r>
              <w:rPr>
                <w:b w:val="0"/>
                <w:sz w:val="20"/>
              </w:rPr>
              <w:t>Article 23 - Right to acquire and dispose of property</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Request additional documentation or clarification from the vendor regarding the land use classification and intended purpose of acquisition to ensure compliance with relevant laws and regulations.</w:t>
            </w:r>
          </w:p>
        </w:tc>
      </w:tr>
    </w:tbl>
    <w:p/>
    <w:p>
      <w:r>
        <w:rPr>
          <w:b/>
          <w:color w:val="143C6E"/>
          <w:sz w:val="22"/>
        </w:rPr>
        <w:t xml:space="preserve">Q9. Are utility connections — electricity, gas, water, PTCL — documented and registered in the vendor's name? Are there any </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context does not mention the documentation and registration of utility connections in the vendor's name, nor does it discuss any outstanding utility dues. The context primarily focuses on the challenges faced by mid-size law firms in Pakistan, the features of the Legal RAG System, and the cost analysis of the system.</w:t>
            </w:r>
          </w:p>
        </w:tc>
      </w:tr>
      <w:tr>
        <w:tc>
          <w:tcPr>
            <w:tcW w:type="dxa" w:w="4561"/>
          </w:tcPr>
          <w:p>
            <w:r>
              <w:rPr>
                <w:b/>
                <w:color w:val="143C6E"/>
                <w:sz w:val="20"/>
              </w:rPr>
              <w:t>Document citation</w:t>
            </w:r>
          </w:p>
        </w:tc>
        <w:tc>
          <w:tcPr>
            <w:tcW w:type="dxa" w:w="4561"/>
          </w:tcPr>
          <w:p>
            <w:r>
              <w:rPr>
                <w:b w:val="0"/>
                <w:sz w:val="20"/>
              </w:rPr>
              <w:t>skillSYNC_Project Report.pdf, pages 4-17</w:t>
            </w:r>
          </w:p>
        </w:tc>
      </w:tr>
      <w:tr>
        <w:tc>
          <w:tcPr>
            <w:tcW w:type="dxa" w:w="4561"/>
          </w:tcPr>
          <w:p>
            <w:r>
              <w:rPr>
                <w:b/>
                <w:color w:val="143C6E"/>
                <w:sz w:val="20"/>
              </w:rPr>
              <w:t>Statutory citation</w:t>
            </w:r>
          </w:p>
        </w:tc>
        <w:tc>
          <w:tcPr>
            <w:tcW w:type="dxa" w:w="4561"/>
          </w:tcPr>
          <w:p>
            <w:r>
              <w:rPr>
                <w:b w:val="0"/>
                <w:sz w:val="20"/>
              </w:rPr>
              <w:t>Transfer of Property Act 1882</w:t>
            </w:r>
          </w:p>
        </w:tc>
      </w:tr>
      <w:tr>
        <w:tc>
          <w:tcPr>
            <w:tcW w:type="dxa" w:w="4561"/>
          </w:tcPr>
          <w:p>
            <w:r>
              <w:rPr>
                <w:b/>
                <w:color w:val="143C6E"/>
                <w:sz w:val="20"/>
              </w:rPr>
              <w:t>Constitutional basis</w:t>
            </w:r>
          </w:p>
        </w:tc>
        <w:tc>
          <w:tcPr>
            <w:tcW w:type="dxa" w:w="4561"/>
          </w:tcPr>
          <w:p>
            <w:r>
              <w:rPr>
                <w:b w:val="0"/>
                <w:sz w:val="20"/>
              </w:rPr>
              <w:t>Article 23 of the Constitution of Pakistan 1973, which deals with the protection of property rights</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Review the property documents and verify the registration of utility connections in the vendor's name to ensure compliance with the Transfer of Property Act 1882 and to avoid any potential disputes or liabilities</w:t>
            </w:r>
          </w:p>
        </w:tc>
      </w:tr>
    </w:tbl>
    <w:p/>
    <w:p>
      <w:r>
        <w:rPr>
          <w:b/>
          <w:color w:val="143C6E"/>
          <w:sz w:val="22"/>
        </w:rPr>
        <w:t>Q10. Are all outstanding property taxes, withholding taxes under Sections 236C and 236K of the Income Tax Ordinance 2001, CVT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context information does not contain any relevant text regarding outstanding property taxes, withholding taxes, CVT, or stamp duty arrears.</w:t>
            </w:r>
          </w:p>
        </w:tc>
      </w:tr>
      <w:tr>
        <w:tc>
          <w:tcPr>
            <w:tcW w:type="dxa" w:w="4561"/>
          </w:tcPr>
          <w:p>
            <w:r>
              <w:rPr>
                <w:b/>
                <w:color w:val="143C6E"/>
                <w:sz w:val="20"/>
              </w:rPr>
              <w:t>Document citation</w:t>
            </w:r>
          </w:p>
        </w:tc>
        <w:tc>
          <w:tcPr>
            <w:tcW w:type="dxa" w:w="4561"/>
          </w:tcPr>
          <w:p>
            <w:r>
              <w:rPr>
                <w:b w:val="0"/>
                <w:sz w:val="20"/>
              </w:rPr>
              <w:t>property-act.pdf, pages not specified</w:t>
            </w:r>
          </w:p>
        </w:tc>
      </w:tr>
      <w:tr>
        <w:tc>
          <w:tcPr>
            <w:tcW w:type="dxa" w:w="4561"/>
          </w:tcPr>
          <w:p>
            <w:r>
              <w:rPr>
                <w:b/>
                <w:color w:val="143C6E"/>
                <w:sz w:val="20"/>
              </w:rPr>
              <w:t>Statutory citation</w:t>
            </w:r>
          </w:p>
        </w:tc>
        <w:tc>
          <w:tcPr>
            <w:tcW w:type="dxa" w:w="4561"/>
          </w:tcPr>
          <w:p>
            <w:r>
              <w:rPr>
                <w:b w:val="0"/>
                <w:sz w:val="20"/>
              </w:rPr>
              <w:t>Income Tax Ordinance 2001, Sections 236C and 236K</w:t>
            </w:r>
          </w:p>
        </w:tc>
      </w:tr>
      <w:tr>
        <w:tc>
          <w:tcPr>
            <w:tcW w:type="dxa" w:w="4561"/>
          </w:tcPr>
          <w:p>
            <w:r>
              <w:rPr>
                <w:b/>
                <w:color w:val="143C6E"/>
                <w:sz w:val="20"/>
              </w:rPr>
              <w:t>Constitutional basis</w:t>
            </w:r>
          </w:p>
        </w:tc>
        <w:tc>
          <w:tcPr>
            <w:tcW w:type="dxa" w:w="4561"/>
          </w:tcPr>
          <w:p>
            <w:r>
              <w:rPr>
                <w:b w:val="0"/>
                <w:sz w:val="20"/>
              </w:rPr>
              <w:t>Article 77 of the Constitution of Pakistan 1973</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Obtain and review relevant tax documents and records to verify settlement of outstanding taxes and duties</w:t>
            </w:r>
          </w:p>
        </w:tc>
      </w:tr>
    </w:tbl>
    <w:p/>
    <w:p>
      <w:r>
        <w:rPr>
          <w:b/>
          <w:color w:val="143C6E"/>
          <w:sz w:val="22"/>
        </w:rPr>
        <w:t>Q11. Is the vendor's CNIC number verified and consistent across all transaction documents including the sale deed, NOC, and u</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context does not contain information about the verification and consistency of the vendor's CNIC number across all transaction documents.</w:t>
            </w:r>
          </w:p>
        </w:tc>
      </w:tr>
      <w:tr>
        <w:tc>
          <w:tcPr>
            <w:tcW w:type="dxa" w:w="4561"/>
          </w:tcPr>
          <w:p>
            <w:r>
              <w:rPr>
                <w:b/>
                <w:color w:val="143C6E"/>
                <w:sz w:val="20"/>
              </w:rPr>
              <w:t>Document citation</w:t>
            </w:r>
          </w:p>
        </w:tc>
        <w:tc>
          <w:tcPr>
            <w:tcW w:type="dxa" w:w="4561"/>
          </w:tcPr>
          <w:p>
            <w:r>
              <w:rPr>
                <w:b w:val="0"/>
                <w:sz w:val="20"/>
              </w:rPr>
              <w:t>No relevant document citation found</w:t>
            </w:r>
          </w:p>
        </w:tc>
      </w:tr>
      <w:tr>
        <w:tc>
          <w:tcPr>
            <w:tcW w:type="dxa" w:w="4561"/>
          </w:tcPr>
          <w:p>
            <w:r>
              <w:rPr>
                <w:b/>
                <w:color w:val="143C6E"/>
                <w:sz w:val="20"/>
              </w:rPr>
              <w:t>Statutory citation</w:t>
            </w:r>
          </w:p>
        </w:tc>
        <w:tc>
          <w:tcPr>
            <w:tcW w:type="dxa" w:w="4561"/>
          </w:tcPr>
          <w:p>
            <w:r>
              <w:rPr>
                <w:b w:val="0"/>
                <w:sz w:val="20"/>
              </w:rPr>
              <w:t>National Database and Registration Authority (NADRA) regulations and the Registration Act 1908, Section 17(1)(b)</w:t>
            </w:r>
          </w:p>
        </w:tc>
      </w:tr>
      <w:tr>
        <w:tc>
          <w:tcPr>
            <w:tcW w:type="dxa" w:w="4561"/>
          </w:tcPr>
          <w:p>
            <w:r>
              <w:rPr>
                <w:b/>
                <w:color w:val="143C6E"/>
                <w:sz w:val="20"/>
              </w:rPr>
              <w:t>Constitutional basis</w:t>
            </w:r>
          </w:p>
        </w:tc>
        <w:tc>
          <w:tcPr>
            <w:tcW w:type="dxa" w:w="4561"/>
          </w:tcPr>
          <w:p>
            <w:r>
              <w:rPr>
                <w:b w:val="0"/>
                <w:sz w:val="20"/>
              </w:rPr>
              <w:t>Article 23 - Right to acquire and dispose of property, and Article 25 - Equality of citizens</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Verify the vendor's CNIC number across all transaction documents, including the sale deed, NOC, and utility bills, to ensure consistency and authenticity.</w:t>
            </w:r>
          </w:p>
        </w:tc>
      </w:tr>
    </w:tbl>
    <w:p/>
    <w:p>
      <w:r>
        <w:rPr>
          <w:b/>
          <w:color w:val="143C6E"/>
          <w:sz w:val="22"/>
        </w:rPr>
        <w:t>Q12. Are there any co-owners, inherited co-sharers, legal heirs, or third-party interests in the property? If so, is their wr</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due diligence checklist includes a question about co-owners, inherited co-sharers, or third-party interests in the property, but the provided context does not contain specific information about the property in question.</w:t>
            </w:r>
          </w:p>
        </w:tc>
      </w:tr>
      <w:tr>
        <w:tc>
          <w:tcPr>
            <w:tcW w:type="dxa" w:w="4561"/>
          </w:tcPr>
          <w:p>
            <w:r>
              <w:rPr>
                <w:b/>
                <w:color w:val="143C6E"/>
                <w:sz w:val="20"/>
              </w:rPr>
              <w:t>Reasoning</w:t>
            </w:r>
          </w:p>
        </w:tc>
        <w:tc>
          <w:tcPr>
            <w:tcW w:type="dxa" w:w="4561"/>
          </w:tcPr>
          <w:p>
            <w:r>
              <w:rPr>
                <w:b w:val="0"/>
                <w:sz w:val="20"/>
              </w:rPr>
              <w:t>The due diligence checklist includes question Q12, which asks about co-owners, inherited co-sharers, or third-party interests in the property. However, the context does not provide information about a specific property or transaction, so the answer to this question cannot be determined.</w:t>
            </w:r>
          </w:p>
        </w:tc>
      </w:tr>
      <w:tr>
        <w:tc>
          <w:tcPr>
            <w:tcW w:type="dxa" w:w="4561"/>
          </w:tcPr>
          <w:p>
            <w:r>
              <w:rPr>
                <w:b/>
                <w:color w:val="143C6E"/>
                <w:sz w:val="20"/>
              </w:rPr>
              <w:t>Document citation</w:t>
            </w:r>
          </w:p>
        </w:tc>
        <w:tc>
          <w:tcPr>
            <w:tcW w:type="dxa" w:w="4561"/>
          </w:tcPr>
          <w:p>
            <w:r>
              <w:rPr>
                <w:b w:val="0"/>
                <w:sz w:val="20"/>
              </w:rPr>
              <w:t>skillSYNC_Project Report.pdf, page 13</w:t>
            </w:r>
          </w:p>
        </w:tc>
      </w:tr>
      <w:tr>
        <w:tc>
          <w:tcPr>
            <w:tcW w:type="dxa" w:w="4561"/>
          </w:tcPr>
          <w:p>
            <w:r>
              <w:rPr>
                <w:b/>
                <w:color w:val="143C6E"/>
                <w:sz w:val="20"/>
              </w:rPr>
              <w:t>Statutory citation</w:t>
            </w:r>
          </w:p>
        </w:tc>
        <w:tc>
          <w:tcPr>
            <w:tcW w:type="dxa" w:w="4561"/>
          </w:tcPr>
          <w:p>
            <w:r>
              <w:rPr>
                <w:b w:val="0"/>
                <w:sz w:val="20"/>
              </w:rPr>
              <w:t>Transfer of Property Act 1882, Section 43</w:t>
            </w:r>
          </w:p>
        </w:tc>
      </w:tr>
      <w:tr>
        <w:tc>
          <w:tcPr>
            <w:tcW w:type="dxa" w:w="4561"/>
          </w:tcPr>
          <w:p>
            <w:r>
              <w:rPr>
                <w:b/>
                <w:color w:val="143C6E"/>
                <w:sz w:val="20"/>
              </w:rPr>
              <w:t>Constitutional basis</w:t>
            </w:r>
          </w:p>
        </w:tc>
        <w:tc>
          <w:tcPr>
            <w:tcW w:type="dxa" w:w="4561"/>
          </w:tcPr>
          <w:p>
            <w:r>
              <w:rPr>
                <w:b w:val="0"/>
                <w:sz w:val="20"/>
              </w:rPr>
              <w:t>Article 23 of the Constitution of Pakistan 1973</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Review the property documents and transaction agreements to determine if there are any co-owners, inherited co-sharers, or third-party interests in the property and if their written consent to the transfer is documented.</w:t>
            </w:r>
          </w:p>
        </w:tc>
      </w:tr>
    </w:tbl>
    <w:p/>
    <w:p>
      <w:r>
        <w:rPr>
          <w:b/>
          <w:color w:val="143C6E"/>
          <w:sz w:val="22"/>
        </w:rPr>
        <w:t>Q13. Is the possession transfer date, handover mechanism, and physical possession status explicitly documented?</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context does not contain specific details about the possession transfer date, handover mechanism, and physical possession status. However, Q13 in the due diligence checklist asks about the possession transfer date and handover mechanism, implying its importance in the documentation process.</w:t>
            </w:r>
          </w:p>
        </w:tc>
      </w:tr>
      <w:tr>
        <w:tc>
          <w:tcPr>
            <w:tcW w:type="dxa" w:w="4561"/>
          </w:tcPr>
          <w:p>
            <w:r>
              <w:rPr>
                <w:b/>
                <w:color w:val="143C6E"/>
                <w:sz w:val="20"/>
              </w:rPr>
              <w:t>Document citation</w:t>
            </w:r>
          </w:p>
        </w:tc>
        <w:tc>
          <w:tcPr>
            <w:tcW w:type="dxa" w:w="4561"/>
          </w:tcPr>
          <w:p>
            <w:r>
              <w:rPr>
                <w:b w:val="0"/>
                <w:sz w:val="20"/>
              </w:rPr>
              <w:t>skillSYNC_Project Report.pdf, page 13</w:t>
            </w:r>
          </w:p>
        </w:tc>
      </w:tr>
      <w:tr>
        <w:tc>
          <w:tcPr>
            <w:tcW w:type="dxa" w:w="4561"/>
          </w:tcPr>
          <w:p>
            <w:r>
              <w:rPr>
                <w:b/>
                <w:color w:val="143C6E"/>
                <w:sz w:val="20"/>
              </w:rPr>
              <w:t>Statutory citation</w:t>
            </w:r>
          </w:p>
        </w:tc>
        <w:tc>
          <w:tcPr>
            <w:tcW w:type="dxa" w:w="4561"/>
          </w:tcPr>
          <w:p>
            <w:r>
              <w:rPr>
                <w:b w:val="0"/>
                <w:sz w:val="20"/>
              </w:rPr>
              <w:t>Transfer of Property Act 1882</w:t>
            </w:r>
          </w:p>
        </w:tc>
      </w:tr>
      <w:tr>
        <w:tc>
          <w:tcPr>
            <w:tcW w:type="dxa" w:w="4561"/>
          </w:tcPr>
          <w:p>
            <w:r>
              <w:rPr>
                <w:b/>
                <w:color w:val="143C6E"/>
                <w:sz w:val="20"/>
              </w:rPr>
              <w:t>Constitutional basis</w:t>
            </w:r>
          </w:p>
        </w:tc>
        <w:tc>
          <w:tcPr>
            <w:tcW w:type="dxa" w:w="4561"/>
          </w:tcPr>
          <w:p>
            <w:r>
              <w:rPr>
                <w:b w:val="0"/>
                <w:sz w:val="20"/>
              </w:rPr>
              <w:t>Article 23 of the Constitution of Pakistan 1973</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Review the documentation for the presence of possession transfer date, handover mechanism, and physical possession status, and verify its compliance with the Transfer of Property Act 1882.</w:t>
            </w:r>
          </w:p>
        </w:tc>
      </w:tr>
    </w:tbl>
    <w:p/>
    <w:p>
      <w:r>
        <w:rPr>
          <w:b/>
          <w:color w:val="143C6E"/>
          <w:sz w:val="22"/>
        </w:rPr>
        <w:t>Q14. Are all conditions precedent to the transfer clearly identified and confirmed as satisfied? List any outstanding conditi</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No response received.</w:t>
            </w:r>
          </w:p>
        </w:tc>
      </w:tr>
      <w:tr>
        <w:tc>
          <w:tcPr>
            <w:tcW w:type="dxa" w:w="4561"/>
          </w:tcPr>
          <w:p>
            <w:r>
              <w:rPr>
                <w:b/>
                <w:color w:val="143C6E"/>
                <w:sz w:val="20"/>
              </w:rPr>
              <w:t>Reasoning</w:t>
            </w:r>
          </w:p>
        </w:tc>
        <w:tc>
          <w:tcPr>
            <w:tcW w:type="dxa" w:w="4561"/>
          </w:tcPr>
          <w:p>
            <w:r>
              <w:rPr>
                <w:b w:val="0"/>
                <w:sz w:val="20"/>
              </w:rPr>
              <w:t>Could not parse structured response.</w:t>
            </w:r>
          </w:p>
        </w:tc>
      </w:tr>
      <w:tr>
        <w:tc>
          <w:tcPr>
            <w:tcW w:type="dxa" w:w="4561"/>
          </w:tcPr>
          <w:p>
            <w:r>
              <w:rPr>
                <w:b/>
                <w:color w:val="143C6E"/>
                <w:sz w:val="20"/>
              </w:rPr>
              <w:t>Document citation</w:t>
            </w:r>
          </w:p>
        </w:tc>
        <w:tc>
          <w:tcPr>
            <w:tcW w:type="dxa" w:w="4561"/>
          </w:tcPr>
          <w:p>
            <w:r>
              <w:rPr>
                <w:b w:val="0"/>
                <w:sz w:val="20"/>
              </w:rPr>
              <w:t>See raw response</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Article 23 — Right to acquire and dispose of property</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Manual review required for this item.</w:t>
            </w:r>
          </w:p>
        </w:tc>
      </w:tr>
    </w:tbl>
    <w:p/>
    <w:p>
      <w:r>
        <w:rPr>
          <w:b/>
          <w:color w:val="143C6E"/>
          <w:sz w:val="22"/>
        </w:rPr>
        <w:t>Q15. Is there a registered mutation (Intiqal) on record from LRMIS? Is the Fard-e-Malkiat consistent with the Registry? Is th</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No response received.</w:t>
            </w:r>
          </w:p>
        </w:tc>
      </w:tr>
      <w:tr>
        <w:tc>
          <w:tcPr>
            <w:tcW w:type="dxa" w:w="4561"/>
          </w:tcPr>
          <w:p>
            <w:r>
              <w:rPr>
                <w:b/>
                <w:color w:val="143C6E"/>
                <w:sz w:val="20"/>
              </w:rPr>
              <w:t>Reasoning</w:t>
            </w:r>
          </w:p>
        </w:tc>
        <w:tc>
          <w:tcPr>
            <w:tcW w:type="dxa" w:w="4561"/>
          </w:tcPr>
          <w:p>
            <w:r>
              <w:rPr>
                <w:b w:val="0"/>
                <w:sz w:val="20"/>
              </w:rPr>
              <w:t>Could not parse structured response.</w:t>
            </w:r>
          </w:p>
        </w:tc>
      </w:tr>
      <w:tr>
        <w:tc>
          <w:tcPr>
            <w:tcW w:type="dxa" w:w="4561"/>
          </w:tcPr>
          <w:p>
            <w:r>
              <w:rPr>
                <w:b/>
                <w:color w:val="143C6E"/>
                <w:sz w:val="20"/>
              </w:rPr>
              <w:t>Document citation</w:t>
            </w:r>
          </w:p>
        </w:tc>
        <w:tc>
          <w:tcPr>
            <w:tcW w:type="dxa" w:w="4561"/>
          </w:tcPr>
          <w:p>
            <w:r>
              <w:rPr>
                <w:b w:val="0"/>
                <w:sz w:val="20"/>
              </w:rPr>
              <w:t>See raw response</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Article 23 — Right to acquire and dispose of property</w:t>
            </w:r>
          </w:p>
        </w:tc>
      </w:tr>
      <w:tr>
        <w:tc>
          <w:tcPr>
            <w:tcW w:type="dxa" w:w="4561"/>
          </w:tcPr>
          <w:p>
            <w:r>
              <w:rPr>
                <w:b/>
                <w:color w:val="143C6E"/>
                <w:sz w:val="20"/>
              </w:rPr>
              <w:t>Risk level</w:t>
            </w:r>
          </w:p>
        </w:tc>
        <w:tc>
          <w:tcPr>
            <w:tcW w:type="dxa" w:w="4561"/>
          </w:tcPr>
          <w:p>
            <w:r>
              <w:rPr>
                <w:b w:val="0"/>
                <w:color w:val="B85C00"/>
                <w:sz w:val="20"/>
              </w:rPr>
              <w:t>MEDIUM</w:t>
            </w:r>
          </w:p>
        </w:tc>
      </w:tr>
      <w:tr>
        <w:tc>
          <w:tcPr>
            <w:tcW w:type="dxa" w:w="4561"/>
          </w:tcPr>
          <w:p>
            <w:r>
              <w:rPr>
                <w:b/>
                <w:color w:val="143C6E"/>
                <w:sz w:val="20"/>
              </w:rPr>
              <w:t>Recommendation</w:t>
            </w:r>
          </w:p>
        </w:tc>
        <w:tc>
          <w:tcPr>
            <w:tcW w:type="dxa" w:w="4561"/>
          </w:tcPr>
          <w:p>
            <w:r>
              <w:rPr>
                <w:b w:val="0"/>
                <w:sz w:val="20"/>
              </w:rPr>
              <w:t>Manual review required for this item.</w:t>
            </w:r>
          </w:p>
        </w:tc>
      </w:tr>
    </w:tbl>
    <w:p/>
    <w:p>
      <w:r>
        <w:rPr>
          <w:b/>
          <w:color w:val="143C6E"/>
          <w:sz w:val="22"/>
        </w:rPr>
        <w:t>Q16. Is a succession certificate present? Are legal heirship certificates from a competent court available? Have all legal he</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No information is found regarding the presence of a succession certificate, legal heirship certificates, or written consent from all legal heirs</w:t>
            </w:r>
          </w:p>
        </w:tc>
      </w:tr>
      <w:tr>
        <w:tc>
          <w:tcPr>
            <w:tcW w:type="dxa" w:w="4561"/>
          </w:tcPr>
          <w:p>
            <w:r>
              <w:rPr>
                <w:b/>
                <w:color w:val="143C6E"/>
                <w:sz w:val="20"/>
              </w:rPr>
              <w:t>Reasoning</w:t>
            </w:r>
          </w:p>
        </w:tc>
        <w:tc>
          <w:tcPr>
            <w:tcW w:type="dxa" w:w="4561"/>
          </w:tcPr>
          <w:p>
            <w:r>
              <w:rPr>
                <w:b w:val="0"/>
                <w:sz w:val="20"/>
              </w:rPr>
              <w:t>Given the context of inherited property and the necessity of compliance with the Muslim Family Laws Ordinance 1961, the absence of a succession certificate, legal heirship certificates, and written consent from all legal heirs poses a significant risk. The Muslim Family Laws Ordinance 1961 mandates these documents for the lawful transfer of inherited property, highlighting the need for their verification</w:t>
            </w:r>
          </w:p>
        </w:tc>
      </w:tr>
      <w:tr>
        <w:tc>
          <w:tcPr>
            <w:tcW w:type="dxa" w:w="4561"/>
          </w:tcPr>
          <w:p>
            <w:r>
              <w:rPr>
                <w:b/>
                <w:color w:val="143C6E"/>
                <w:sz w:val="20"/>
              </w:rPr>
              <w:t>Document citation</w:t>
            </w:r>
          </w:p>
        </w:tc>
        <w:tc>
          <w:tcPr>
            <w:tcW w:type="dxa" w:w="4561"/>
          </w:tcPr>
          <w:p>
            <w:r>
              <w:rPr>
                <w:b w:val="0"/>
                <w:sz w:val="20"/>
              </w:rPr>
              <w:t>None found in the provided documents</w:t>
            </w:r>
          </w:p>
        </w:tc>
      </w:tr>
      <w:tr>
        <w:tc>
          <w:tcPr>
            <w:tcW w:type="dxa" w:w="4561"/>
          </w:tcPr>
          <w:p>
            <w:r>
              <w:rPr>
                <w:b/>
                <w:color w:val="143C6E"/>
                <w:sz w:val="20"/>
              </w:rPr>
              <w:t>Statutory citation</w:t>
            </w:r>
          </w:p>
        </w:tc>
        <w:tc>
          <w:tcPr>
            <w:tcW w:type="dxa" w:w="4561"/>
          </w:tcPr>
          <w:p>
            <w:r>
              <w:rPr>
                <w:b w:val="0"/>
                <w:sz w:val="20"/>
              </w:rPr>
              <w:t>Section 4 of the Muslim Family Laws Ordinance 1961</w:t>
            </w:r>
          </w:p>
        </w:tc>
      </w:tr>
      <w:tr>
        <w:tc>
          <w:tcPr>
            <w:tcW w:type="dxa" w:w="4561"/>
          </w:tcPr>
          <w:p>
            <w:r>
              <w:rPr>
                <w:b/>
                <w:color w:val="143C6E"/>
                <w:sz w:val="20"/>
              </w:rPr>
              <w:t>Constitutional basis</w:t>
            </w:r>
          </w:p>
        </w:tc>
        <w:tc>
          <w:tcPr>
            <w:tcW w:type="dxa" w:w="4561"/>
          </w:tcPr>
          <w:p>
            <w:r>
              <w:rPr>
                <w:b w:val="0"/>
                <w:sz w:val="20"/>
              </w:rPr>
              <w:t>Article 23 (protection of property) and Article 25 (equality of citizens) of the Constitution of Pakistan 1973</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Immediately verify the presence of a succession certificate, obtain legal heirship certificates from a competent court if not already available, and ensure written consent from all legal heirs to comply with the Muslim Family Laws Ordinance 1961 and mitigate potential legal disputes</w:t>
            </w:r>
          </w:p>
        </w:tc>
      </w:tr>
    </w:tbl>
    <w:p/>
    <w:p>
      <w:r>
        <w:rPr>
          <w:b/>
          <w:color w:val="143C6E"/>
          <w:sz w:val="22"/>
        </w:rPr>
        <w:t>Q18. Transaction value exceeds PKR 10,000,000. Is the source of funds documented? Are enhanced due diligence requirements und</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Information not found in the documents</w:t>
            </w:r>
          </w:p>
        </w:tc>
      </w:tr>
      <w:tr>
        <w:tc>
          <w:tcPr>
            <w:tcW w:type="dxa" w:w="4561"/>
          </w:tcPr>
          <w:p>
            <w:r>
              <w:rPr>
                <w:b/>
                <w:color w:val="143C6E"/>
                <w:sz w:val="20"/>
              </w:rPr>
              <w:t>Reasoning</w:t>
            </w:r>
          </w:p>
        </w:tc>
        <w:tc>
          <w:tcPr>
            <w:tcW w:type="dxa" w:w="4561"/>
          </w:tcPr>
          <w:p>
            <w:r>
              <w:rPr>
                <w:b w:val="0"/>
                <w:sz w:val="20"/>
              </w:rPr>
              <w:t>The provided numerical context does not contain any details about the source of funds or compliance with Anti-Money Laundering Act 2010 and SECP AML/CFT Regulations 2018</w:t>
            </w:r>
          </w:p>
        </w:tc>
      </w:tr>
      <w:tr>
        <w:tc>
          <w:tcPr>
            <w:tcW w:type="dxa" w:w="4561"/>
          </w:tcPr>
          <w:p>
            <w:r>
              <w:rPr>
                <w:b/>
                <w:color w:val="143C6E"/>
                <w:sz w:val="20"/>
              </w:rPr>
              <w:t>Document citation</w:t>
            </w:r>
          </w:p>
        </w:tc>
        <w:tc>
          <w:tcPr>
            <w:tcW w:type="dxa" w:w="4561"/>
          </w:tcPr>
          <w:p>
            <w:r>
              <w:rPr>
                <w:b w:val="0"/>
                <w:sz w:val="20"/>
              </w:rPr>
              <w:t>None</w:t>
            </w:r>
          </w:p>
        </w:tc>
      </w:tr>
      <w:tr>
        <w:tc>
          <w:tcPr>
            <w:tcW w:type="dxa" w:w="4561"/>
          </w:tcPr>
          <w:p>
            <w:r>
              <w:rPr>
                <w:b/>
                <w:color w:val="143C6E"/>
                <w:sz w:val="20"/>
              </w:rPr>
              <w:t>Statutory citation</w:t>
            </w:r>
          </w:p>
        </w:tc>
        <w:tc>
          <w:tcPr>
            <w:tcW w:type="dxa" w:w="4561"/>
          </w:tcPr>
          <w:p>
            <w:r>
              <w:rPr>
                <w:b w:val="0"/>
                <w:sz w:val="20"/>
              </w:rPr>
              <w:t>Anti-Money Laundering Act 2010, Section 6</w:t>
            </w:r>
          </w:p>
        </w:tc>
      </w:tr>
      <w:tr>
        <w:tc>
          <w:tcPr>
            <w:tcW w:type="dxa" w:w="4561"/>
          </w:tcPr>
          <w:p>
            <w:r>
              <w:rPr>
                <w:b/>
                <w:color w:val="143C6E"/>
                <w:sz w:val="20"/>
              </w:rPr>
              <w:t>Constitutional basis</w:t>
            </w:r>
          </w:p>
        </w:tc>
        <w:tc>
          <w:tcPr>
            <w:tcW w:type="dxa" w:w="4561"/>
          </w:tcPr>
          <w:p>
            <w:r>
              <w:rPr>
                <w:b w:val="0"/>
                <w:sz w:val="20"/>
              </w:rPr>
              <w:t>Article 23 of the Constitution of Pakistan 1973</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Conduct enhanced due diligence and verify the source of funds to ensure compliance with Anti-Money Laundering Act 2010 and SECP AML/CFT Regulations 2018</w:t>
            </w:r>
          </w:p>
        </w:tc>
      </w:tr>
    </w:tbl>
    <w:p/>
    <w:p>
      <w:pPr>
        <w:spacing w:before="160" w:after="80"/>
      </w:pPr>
      <w:r>
        <w:rPr>
          <w:b/>
          <w:color w:val="143C6E"/>
          <w:sz w:val="26"/>
        </w:rPr>
        <w:t>5. FBR &amp; AML Compliance Assessment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Detected transaction value</w:t>
            </w:r>
          </w:p>
        </w:tc>
        <w:tc>
          <w:tcPr>
            <w:tcW w:type="dxa" w:w="4561"/>
          </w:tcPr>
          <w:p>
            <w:r>
              <w:rPr>
                <w:b w:val="0"/>
                <w:sz w:val="20"/>
              </w:rPr>
              <w:t>Not detected in documents</w:t>
            </w:r>
          </w:p>
        </w:tc>
      </w:tr>
      <w:tr>
        <w:tc>
          <w:tcPr>
            <w:tcW w:type="dxa" w:w="4561"/>
          </w:tcPr>
          <w:p>
            <w:r>
              <w:rPr>
                <w:b/>
                <w:color w:val="143C6E"/>
                <w:sz w:val="20"/>
              </w:rPr>
              <w:t>FBR withholding tax applicable</w:t>
              <w:br/>
              <w:t>(Section 236C/236K — above PKR 5M)</w:t>
            </w:r>
          </w:p>
        </w:tc>
        <w:tc>
          <w:tcPr>
            <w:tcW w:type="dxa" w:w="4561"/>
          </w:tcPr>
          <w:p>
            <w:r>
              <w:rPr>
                <w:b w:val="0"/>
                <w:color w:val="AA2323"/>
                <w:sz w:val="20"/>
              </w:rPr>
              <w:t>YES — Withholding tax required (1% filers / 2% non-filers)</w:t>
            </w:r>
          </w:p>
        </w:tc>
      </w:tr>
      <w:tr>
        <w:tc>
          <w:tcPr>
            <w:tcW w:type="dxa" w:w="4561"/>
          </w:tcPr>
          <w:p>
            <w:r>
              <w:rPr>
                <w:b/>
                <w:color w:val="143C6E"/>
                <w:sz w:val="20"/>
              </w:rPr>
              <w:t>Enhanced AML due diligence required</w:t>
              <w:br/>
              <w:t>(AML Act 2010 — above PKR 10M)</w:t>
            </w:r>
          </w:p>
        </w:tc>
        <w:tc>
          <w:tcPr>
            <w:tcW w:type="dxa" w:w="4561"/>
          </w:tcPr>
          <w:p>
            <w:r>
              <w:rPr>
                <w:b w:val="0"/>
                <w:color w:val="AA2323"/>
                <w:sz w:val="20"/>
              </w:rPr>
              <w:t>YES — Source of funds documentation required</w:t>
            </w:r>
          </w:p>
        </w:tc>
      </w:tr>
      <w:tr>
        <w:tc>
          <w:tcPr>
            <w:tcW w:type="dxa" w:w="4561"/>
          </w:tcPr>
          <w:p>
            <w:r>
              <w:rPr>
                <w:b/>
                <w:color w:val="143C6E"/>
                <w:sz w:val="20"/>
              </w:rPr>
              <w:t>AML risk indicators detected</w:t>
            </w:r>
          </w:p>
        </w:tc>
        <w:tc>
          <w:tcPr>
            <w:tcW w:type="dxa" w:w="4561"/>
          </w:tcPr>
          <w:p>
            <w:r>
              <w:rPr>
                <w:b w:val="0"/>
                <w:sz w:val="20"/>
              </w:rPr>
              <w:t>YES — Review source of funds documentation</w:t>
            </w:r>
          </w:p>
        </w:tc>
      </w:tr>
      <w:tr>
        <w:tc>
          <w:tcPr>
            <w:tcW w:type="dxa" w:w="4561"/>
          </w:tcPr>
          <w:p>
            <w:r>
              <w:rPr>
                <w:b/>
                <w:color w:val="143C6E"/>
                <w:sz w:val="20"/>
              </w:rPr>
              <w:t>Urdu content detected in documents</w:t>
            </w:r>
          </w:p>
        </w:tc>
        <w:tc>
          <w:tcPr>
            <w:tcW w:type="dxa" w:w="4561"/>
          </w:tcPr>
          <w:p>
            <w:r>
              <w:rPr>
                <w:b w:val="0"/>
                <w:sz w:val="20"/>
              </w:rPr>
              <w:t>No — English-only document</w:t>
            </w:r>
          </w:p>
        </w:tc>
      </w:tr>
      <w:tr>
        <w:tc>
          <w:tcPr>
            <w:tcW w:type="dxa" w:w="4561"/>
          </w:tcPr>
          <w:p>
            <w:r>
              <w:rPr>
                <w:b/>
                <w:color w:val="143C6E"/>
                <w:sz w:val="20"/>
              </w:rPr>
              <w:t>OCR applied to scanned pages</w:t>
            </w:r>
          </w:p>
        </w:tc>
        <w:tc>
          <w:tcPr>
            <w:tcW w:type="dxa" w:w="4561"/>
          </w:tcPr>
          <w:p>
            <w:r>
              <w:rPr>
                <w:b w:val="0"/>
                <w:sz w:val="20"/>
              </w:rPr>
              <w:t>No — All pages are text-based</w:t>
            </w:r>
          </w:p>
        </w:tc>
      </w:tr>
    </w:tbl>
    <w:p/>
    <w:p>
      <w:r>
        <w:rPr>
          <w:i/>
          <w:color w:val="0070A4"/>
          <w:sz w:val="18"/>
        </w:rPr>
        <w:t>Statutory Reference: Income Tax Ordinance 2001, Sections 236C and 236K (withholding tax on property transactions); Anti-Money Laundering Act 2010 (enhanced due diligence); SECP AML/CFT Regulations 2018 (designated non-financial businesses). Constitutional basis: Article 23 — Right to acquire property subject to applicable law.</w:t>
      </w:r>
    </w:p>
    <w:p/>
    <w:p>
      <w:pPr>
        <w:spacing w:before="160" w:after="80"/>
      </w:pPr>
      <w:r>
        <w:rPr>
          <w:b/>
          <w:color w:val="143C6E"/>
          <w:sz w:val="26"/>
        </w:rPr>
        <w:t>6. Missing Documents</w:t>
      </w:r>
    </w:p>
    <w:p>
      <w:pPr>
        <w:pStyle w:val="ListBullet"/>
      </w:pPr>
      <w:r>
        <w:rPr>
          <w:color w:val="AA2323"/>
        </w:rPr>
        <w:t>transaction agreements</w:t>
      </w:r>
    </w:p>
    <w:p>
      <w:pPr>
        <w:pStyle w:val="ListBullet"/>
      </w:pPr>
      <w:r>
        <w:rPr>
          <w:color w:val="AA2323"/>
        </w:rPr>
        <w:t>Injunctions</w:t>
      </w:r>
    </w:p>
    <w:p>
      <w:pPr>
        <w:pStyle w:val="ListBullet"/>
      </w:pPr>
      <w:r>
        <w:rPr>
          <w:color w:val="AA2323"/>
        </w:rPr>
        <w:t>Utility bills</w:t>
      </w:r>
    </w:p>
    <w:p>
      <w:pPr>
        <w:pStyle w:val="ListBullet"/>
      </w:pPr>
      <w:r>
        <w:rPr>
          <w:color w:val="AA2323"/>
        </w:rPr>
        <w:t>Registration date</w:t>
      </w:r>
    </w:p>
    <w:p>
      <w:pPr>
        <w:pStyle w:val="ListBullet"/>
      </w:pPr>
      <w:r>
        <w:rPr>
          <w:color w:val="AA2323"/>
        </w:rPr>
        <w:t>Court orders</w:t>
      </w:r>
    </w:p>
    <w:p>
      <w:pPr>
        <w:pStyle w:val="ListBullet"/>
      </w:pPr>
      <w:r>
        <w:rPr>
          <w:color w:val="AA2323"/>
        </w:rPr>
        <w:t>Payment receipts</w:t>
      </w:r>
    </w:p>
    <w:p>
      <w:pPr>
        <w:pStyle w:val="ListBullet"/>
      </w:pPr>
      <w:r>
        <w:rPr>
          <w:color w:val="AA2323"/>
        </w:rPr>
        <w:t>Tax records</w:t>
      </w:r>
    </w:p>
    <w:p>
      <w:pPr>
        <w:pStyle w:val="ListBullet"/>
      </w:pPr>
      <w:r>
        <w:rPr>
          <w:color w:val="AA2323"/>
        </w:rPr>
        <w:t>AML/CFT compliance report</w:t>
      </w:r>
    </w:p>
    <w:p>
      <w:pPr>
        <w:pStyle w:val="ListBullet"/>
      </w:pPr>
      <w:r>
        <w:rPr>
          <w:color w:val="AA2323"/>
        </w:rPr>
        <w:t>property documents</w:t>
      </w:r>
    </w:p>
    <w:p>
      <w:pPr>
        <w:pStyle w:val="ListBullet"/>
      </w:pPr>
      <w:r>
        <w:rPr>
          <w:color w:val="AA2323"/>
        </w:rPr>
        <w:t>Sub-Registrar office details</w:t>
      </w:r>
    </w:p>
    <w:p>
      <w:pPr>
        <w:pStyle w:val="ListBullet"/>
      </w:pPr>
      <w:r>
        <w:rPr>
          <w:color w:val="AA2323"/>
        </w:rPr>
        <w:t>NOCs from LDA/CDA/RDA/TMA and other local authorities</w:t>
      </w:r>
    </w:p>
    <w:p>
      <w:pPr>
        <w:pStyle w:val="ListBullet"/>
      </w:pPr>
      <w:r>
        <w:rPr>
          <w:color w:val="AA2323"/>
        </w:rPr>
        <w:t>Acquisition purpose statement</w:t>
      </w:r>
    </w:p>
    <w:p>
      <w:pPr>
        <w:pStyle w:val="ListBullet"/>
      </w:pPr>
      <w:r>
        <w:rPr>
          <w:color w:val="AA2323"/>
        </w:rPr>
        <w:t>Litigation records</w:t>
      </w:r>
    </w:p>
    <w:p>
      <w:pPr>
        <w:pStyle w:val="ListBullet"/>
      </w:pPr>
      <w:r>
        <w:rPr>
          <w:color w:val="AA2323"/>
        </w:rPr>
        <w:t>Succession certificate</w:t>
      </w:r>
    </w:p>
    <w:p>
      <w:pPr>
        <w:pStyle w:val="ListBullet"/>
      </w:pPr>
      <w:r>
        <w:rPr>
          <w:color w:val="AA2323"/>
        </w:rPr>
        <w:t>Land use classification documents</w:t>
      </w:r>
    </w:p>
    <w:p>
      <w:pPr>
        <w:pStyle w:val="ListBullet"/>
      </w:pPr>
      <w:r>
        <w:rPr>
          <w:color w:val="AA2323"/>
        </w:rPr>
        <w:t>Bank statements</w:t>
      </w:r>
    </w:p>
    <w:p>
      <w:pPr>
        <w:pStyle w:val="ListBullet"/>
      </w:pPr>
      <w:r>
        <w:rPr>
          <w:color w:val="AA2323"/>
        </w:rPr>
        <w:t>CVT and stamp duty payment receipts</w:t>
      </w:r>
    </w:p>
    <w:p>
      <w:pPr>
        <w:pStyle w:val="ListBullet"/>
      </w:pPr>
      <w:r>
        <w:rPr>
          <w:color w:val="AA2323"/>
        </w:rPr>
        <w:t>Source of funds documentation</w:t>
      </w:r>
    </w:p>
    <w:p>
      <w:pPr>
        <w:pStyle w:val="ListBullet"/>
      </w:pPr>
      <w:r>
        <w:rPr>
          <w:color w:val="AA2323"/>
        </w:rPr>
        <w:t>Withholding tax certificates</w:t>
      </w:r>
    </w:p>
    <w:p>
      <w:pPr>
        <w:pStyle w:val="ListBullet"/>
      </w:pPr>
      <w:r>
        <w:rPr>
          <w:color w:val="AA2323"/>
        </w:rPr>
        <w:t>Legal heirship certificates</w:t>
      </w:r>
    </w:p>
    <w:p>
      <w:pPr>
        <w:pStyle w:val="ListBullet"/>
      </w:pPr>
      <w:r>
        <w:rPr>
          <w:color w:val="AA2323"/>
        </w:rPr>
        <w:t>Written consent from all legal heirs</w:t>
      </w:r>
    </w:p>
    <w:p>
      <w:pPr>
        <w:pStyle w:val="ListBullet"/>
      </w:pPr>
      <w:r>
        <w:rPr>
          <w:color w:val="AA2323"/>
        </w:rPr>
        <w:t>Property documents</w:t>
      </w:r>
    </w:p>
    <w:p>
      <w:pPr>
        <w:pStyle w:val="ListBullet"/>
      </w:pPr>
      <w:r>
        <w:rPr>
          <w:color w:val="AA2323"/>
        </w:rPr>
        <w:t>Caveats</w:t>
      </w:r>
    </w:p>
    <w:p>
      <w:pPr>
        <w:pStyle w:val="ListBullet"/>
      </w:pPr>
      <w:r>
        <w:rPr>
          <w:color w:val="AA2323"/>
        </w:rPr>
        <w:t>CNIC verification record</w:t>
      </w:r>
    </w:p>
    <w:p/>
    <w:p>
      <w:pPr>
        <w:spacing w:before="160" w:after="80"/>
      </w:pPr>
      <w:r>
        <w:rPr>
          <w:b/>
          <w:color w:val="143C6E"/>
          <w:sz w:val="26"/>
        </w:rPr>
        <w:t>7. Disclaimer</w:t>
      </w:r>
    </w:p>
    <w:p>
      <w:r>
        <w:rPr>
          <w:color w:val="0070A4"/>
          <w:sz w:val="18"/>
        </w:rPr>
        <w:t>This memorandum has been generated with the assistance of an AI-powered legal review system and must be reviewed, verified, and approved by a qualified Pakistani advocate before being relied upon. It does not constitute legal advice. All findings should be independently verified against original documents.</w:t>
      </w:r>
    </w:p>
    <w:sectPr w:rsidR="00FC693F" w:rsidRPr="0006063C" w:rsidSect="00034616">
      <w:head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color w:val="0070A4"/>
        <w:sz w:val="18"/>
      </w:rPr>
      <w:t>Law Firm — Legal Due Diligence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