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right"/>
        <w:bidi w:val="1"/>
      </w:pPr>
      <w:r>
        <w:rPr>
          <w:rFonts w:ascii="Arial" w:hAnsi="Arial" w:cs="Arial"/>
          <w:b/>
          <w:color w:val="17365D"/>
          <w:sz w:val="46"/>
        </w:rPr>
        <w:t>تقرير نطاق مبدئي للتقدير الفني والمالي</w:t>
      </w:r>
    </w:p>
    <w:p>
      <w:pPr>
        <w:spacing w:after="240"/>
        <w:jc w:val="right"/>
        <w:bidi w:val="1"/>
      </w:pPr>
      <w:r>
        <w:rPr>
          <w:rFonts w:ascii="Arial" w:hAnsi="Arial" w:cs="Arial"/>
          <w:b/>
          <w:color w:val="0E7490"/>
          <w:sz w:val="27"/>
        </w:rPr>
        <w:t>نظام إدارة عيادة متعددة الأقسام - نسخة داخلية لفريق التنفيذ</w:t>
      </w:r>
    </w:p>
    <w:p>
      <w:pPr>
        <w:spacing w:after="30"/>
        <w:jc w:val="right"/>
        <w:bidi w:val="1"/>
      </w:pPr>
      <w:r>
        <w:rPr>
          <w:rFonts w:ascii="Arial" w:hAnsi="Arial" w:cs="Arial"/>
          <w:b/>
          <w:color w:val="17365D"/>
          <w:sz w:val="20"/>
        </w:rPr>
        <w:t xml:space="preserve">المستلم: </w:t>
      </w:r>
      <w:r>
        <w:rPr>
          <w:rFonts w:ascii="Arial" w:hAnsi="Arial" w:cs="Arial"/>
          <w:color w:val="1F2937"/>
          <w:sz w:val="20"/>
        </w:rPr>
        <w:t>Team Leader وفريق التطوير</w:t>
      </w:r>
    </w:p>
    <w:p>
      <w:pPr>
        <w:spacing w:after="30"/>
        <w:jc w:val="right"/>
        <w:bidi w:val="1"/>
      </w:pPr>
      <w:r>
        <w:rPr>
          <w:rFonts w:ascii="Arial" w:hAnsi="Arial" w:cs="Arial"/>
          <w:b/>
          <w:color w:val="17365D"/>
          <w:sz w:val="20"/>
        </w:rPr>
        <w:t xml:space="preserve">الغرض: </w:t>
      </w:r>
      <w:r>
        <w:rPr>
          <w:rFonts w:ascii="Arial" w:hAnsi="Arial" w:cs="Arial"/>
          <w:color w:val="1F2937"/>
          <w:sz w:val="20"/>
        </w:rPr>
        <w:t>تحديد التكلفة والمدة وتوزيع الجهد قبل إعداد العرض النهائي للعميل</w:t>
      </w:r>
    </w:p>
    <w:p>
      <w:pPr>
        <w:spacing w:after="30"/>
        <w:jc w:val="right"/>
        <w:bidi w:val="1"/>
      </w:pPr>
      <w:r>
        <w:rPr>
          <w:rFonts w:ascii="Arial" w:hAnsi="Arial" w:cs="Arial"/>
          <w:b/>
          <w:color w:val="17365D"/>
          <w:sz w:val="20"/>
        </w:rPr>
        <w:t xml:space="preserve">الحالة: </w:t>
      </w:r>
      <w:r>
        <w:rPr>
          <w:rFonts w:ascii="Arial" w:hAnsi="Arial" w:cs="Arial"/>
          <w:color w:val="1F2937"/>
          <w:sz w:val="20"/>
        </w:rPr>
        <w:t>نطاق مبدئي قابل للتقدير - توجد قرارات عميل مفتوحة</w:t>
      </w:r>
    </w:p>
    <w:p>
      <w:pPr>
        <w:spacing w:after="30"/>
        <w:jc w:val="right"/>
        <w:bidi w:val="1"/>
      </w:pPr>
      <w:r>
        <w:rPr>
          <w:rFonts w:ascii="Arial" w:hAnsi="Arial" w:cs="Arial"/>
          <w:b/>
          <w:color w:val="17365D"/>
          <w:sz w:val="20"/>
        </w:rPr>
        <w:t xml:space="preserve">التاريخ: </w:t>
      </w:r>
      <w:r>
        <w:rPr>
          <w:rFonts w:ascii="Arial" w:hAnsi="Arial" w:cs="Arial"/>
          <w:color w:val="1F2937"/>
          <w:sz w:val="20"/>
        </w:rPr>
        <w:t>2 سبتمبر 2026</w:t>
      </w:r>
    </w:p>
    <w:p>
      <w:pPr>
        <w:spacing w:after="30"/>
        <w:jc w:val="right"/>
        <w:bidi w:val="1"/>
      </w:pPr>
      <w:r>
        <w:rPr>
          <w:rFonts w:ascii="Arial" w:hAnsi="Arial" w:cs="Arial"/>
          <w:b/>
          <w:color w:val="17365D"/>
          <w:sz w:val="20"/>
        </w:rPr>
        <w:t xml:space="preserve">السرية: </w:t>
      </w:r>
      <w:r>
        <w:rPr>
          <w:rFonts w:ascii="Arial" w:hAnsi="Arial" w:cs="Arial"/>
          <w:color w:val="1F2937"/>
          <w:sz w:val="20"/>
        </w:rPr>
        <w:t>للاستخدام الداخلي فقط</w:t>
      </w:r>
    </w:p>
    <w:p>
      <w:pPr>
        <w:spacing w:after="180"/>
        <w:pBdr>
          <w:bottom w:val="single" w:sz="12" w:space="4" w:color="0E7490"/>
        </w:pBdr>
      </w:pP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5F7"/>
          </w:tcPr>
          <w:p>
            <w:pPr>
              <w:spacing w:after="0"/>
              <w:jc w:val="right"/>
              <w:bidi w:val="1"/>
            </w:pPr>
            <w:r>
              <w:rPr>
                <w:rFonts w:ascii="Arial" w:hAnsi="Arial" w:cs="Arial"/>
                <w:b/>
                <w:color w:val="0E7490"/>
                <w:sz w:val="21"/>
              </w:rPr>
              <w:t xml:space="preserve">الخلاصة التنفيذية: </w:t>
            </w:r>
            <w:r>
              <w:rPr>
                <w:rFonts w:ascii="Arial" w:hAnsi="Arial" w:cs="Arial"/>
                <w:color w:val="1F2937"/>
                <w:sz w:val="21"/>
              </w:rPr>
              <w:t>تطبيق ويب عربي Responsive لفرع واحد، يدير المرضى والحجوزات والخدمات والباقات والتحصيل والشيفتات والتقارير. التشغيل الأساسي Online من أي مكان، مع وضع Offline للقراءة المحدودة فقط. لا توجد بوابة دفع إلكترونية؛ النظام يسجل وسائل التحصيل ويطابق كل درج كاشير.</w:t>
            </w:r>
          </w:p>
        </w:tc>
      </w:tr>
    </w:tbl>
    <w:p>
      <w:pPr>
        <w:spacing w:after="40"/>
      </w:pPr>
    </w:p>
    <w:p>
      <w:pPr>
        <w:pStyle w:val="Heading1"/>
        <w:jc w:val="right"/>
        <w:keepNext/>
        <w:bidi w:val="1"/>
      </w:pPr>
      <w:r>
        <w:rPr>
          <w:rFonts w:ascii="Arial" w:hAnsi="Arial" w:cs="Arial"/>
          <w:b/>
          <w:color w:val="2E74B5"/>
        </w:rPr>
        <w:t>1. هدف التقرير وحدود التقدير</w:t>
      </w:r>
    </w:p>
    <w:p>
      <w:pPr>
        <w:spacing w:after="100"/>
        <w:jc w:val="right"/>
        <w:bidi w:val="1"/>
      </w:pPr>
      <w:r>
        <w:rPr>
          <w:rFonts w:ascii="Arial" w:hAnsi="Arial" w:cs="Arial"/>
          <w:b w:val="0"/>
          <w:color w:val="1F2937"/>
        </w:rPr>
        <w:t>هذه الوثيقة ليست عرضًا نهائيًا للعميل ولا مواصفات تقنية تفصيلية. الغرض منها تثبيت نطاق البزنس بما يكفي ليقدّر الـTeam Leader الجهد والمدة والتكلفة ويحدد الافتراضات والمخاطر قبل تقديم عرض ملزم.</w:t>
      </w:r>
    </w:p>
    <w:p>
      <w:pPr>
        <w:pStyle w:val="ListBullet"/>
        <w:spacing w:after="80" w:line="264" w:lineRule="auto"/>
        <w:jc w:val="right"/>
        <w:bidi w:val="1"/>
      </w:pPr>
      <w:r>
        <w:rPr>
          <w:rFonts w:ascii="Arial" w:hAnsi="Arial" w:cs="Arial"/>
          <w:color w:val="1F2937"/>
          <w:sz w:val="21"/>
        </w:rPr>
        <w:t>التقدير يجب أن يفصل بين تكلفة التطوير لمرة واحدة، تكاليف التشغيل المتكررة، والدعم الاختياري.</w:t>
      </w:r>
    </w:p>
    <w:p>
      <w:pPr>
        <w:pStyle w:val="ListBullet"/>
        <w:spacing w:after="80" w:line="264" w:lineRule="auto"/>
        <w:jc w:val="right"/>
        <w:bidi w:val="1"/>
      </w:pPr>
      <w:r>
        <w:rPr>
          <w:rFonts w:ascii="Arial" w:hAnsi="Arial" w:cs="Arial"/>
          <w:color w:val="1F2937"/>
          <w:sz w:val="21"/>
        </w:rPr>
        <w:t>لا يصدر تقدير نهائي قبل اختيار الـTech Stack وحسم القرارات المفتوحة ذات الأثر المالي.</w:t>
      </w:r>
    </w:p>
    <w:p>
      <w:pPr>
        <w:pStyle w:val="ListBullet"/>
        <w:spacing w:after="80" w:line="264" w:lineRule="auto"/>
        <w:jc w:val="right"/>
        <w:bidi w:val="1"/>
      </w:pPr>
      <w:r>
        <w:rPr>
          <w:rFonts w:ascii="Arial" w:hAnsi="Arial" w:cs="Arial"/>
          <w:color w:val="1F2937"/>
          <w:sz w:val="21"/>
        </w:rPr>
        <w:t>أي وظائف جديدة بعد اعتماد النطاق تعامل كـChange Request مستقل.</w:t>
      </w:r>
    </w:p>
    <w:p>
      <w:pPr>
        <w:pStyle w:val="Heading1"/>
        <w:jc w:val="right"/>
        <w:keepNext/>
        <w:bidi w:val="1"/>
      </w:pPr>
      <w:r>
        <w:rPr>
          <w:rFonts w:ascii="Arial" w:hAnsi="Arial" w:cs="Arial"/>
          <w:b/>
          <w:color w:val="2E74B5"/>
        </w:rPr>
        <w:t>2. صورة النظام المعتمدة</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tblHeader w:val="true"/>
        </w:trPr>
        <w:tc>
          <w:tcPr>
            <w:tcW w:type="dxa" w:w="2200"/>
            <w:tcMar>
              <w:top w:w="100" w:type="dxa"/>
              <w:start w:w="120" w:type="dxa"/>
              <w:bottom w:w="100" w:type="dxa"/>
              <w:end w:w="120" w:type="dxa"/>
            </w:tcMar>
            <w:vAlign w:val="center"/>
            <w:shd w:fill="EAF2F8"/>
          </w:tcPr>
          <w:p>
            <w:pPr>
              <w:spacing w:after="0"/>
              <w:jc w:val="center"/>
              <w:bidi w:val="1"/>
            </w:pPr>
            <w:r>
              <w:rPr>
                <w:rFonts w:ascii="Arial" w:hAnsi="Arial" w:cs="Arial"/>
                <w:b/>
                <w:color w:val="17365D"/>
                <w:sz w:val="18"/>
              </w:rPr>
              <w:t>البند</w:t>
            </w:r>
          </w:p>
        </w:tc>
        <w:tc>
          <w:tcPr>
            <w:tcW w:type="dxa" w:w="7160"/>
            <w:tcMar>
              <w:top w:w="100" w:type="dxa"/>
              <w:start w:w="120" w:type="dxa"/>
              <w:bottom w:w="100" w:type="dxa"/>
              <w:end w:w="120" w:type="dxa"/>
            </w:tcMar>
            <w:vAlign w:val="center"/>
            <w:shd w:fill="EAF2F8"/>
          </w:tcPr>
          <w:p>
            <w:pPr>
              <w:spacing w:after="0"/>
              <w:jc w:val="center"/>
              <w:bidi w:val="1"/>
            </w:pPr>
            <w:r>
              <w:rPr>
                <w:rFonts w:ascii="Arial" w:hAnsi="Arial" w:cs="Arial"/>
                <w:b/>
                <w:color w:val="17365D"/>
                <w:sz w:val="18"/>
              </w:rPr>
              <w:t>القرار المعتمد</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نطاق المنشأة</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فرع واحد، أربعة أقسام حاليًا، وكل قسم له غرفة واحدة وسعة مريض واحد في التوقيت.</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المستخدمون</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Admin واحد وعدة سكرتيرات. لا يوجد دخول للأطباء أو المرضى في النسخة الحالية.</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الحسابات</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الأدمن ينشئ حسابات السكرتيرات ويعطلها ويعيد تعيين كلمات المرور. لا يوجد Registration عام.</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التشغيل</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Web عربي، Responsive لكل الشاشات، Cloud، Online بالكامل وOffline للقراءة المحدودة.</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النطاق المالي</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تسجيل تحصيل Cash/Visa/InstaPay/Wallet ومطابقة الشيفتات؛ لا توجد بوابة دفع إلكترونية.</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البيانات</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ملف دائم للمريض، تاريخ علاجي وملاحظات إدارية، وملاحظات حساسة مرئية للأدمن فقط.</w:t>
            </w:r>
          </w:p>
        </w:tc>
      </w:tr>
    </w:tbl>
    <w:p>
      <w:pPr>
        <w:spacing w:after="40"/>
      </w:pPr>
    </w:p>
    <w:p>
      <w:pPr>
        <w:pStyle w:val="Heading1"/>
        <w:jc w:val="right"/>
        <w:keepNext/>
        <w:bidi w:val="1"/>
      </w:pPr>
      <w:r>
        <w:rPr>
          <w:rFonts w:ascii="Arial" w:hAnsi="Arial" w:cs="Arial"/>
          <w:b/>
          <w:color w:val="2E74B5"/>
        </w:rPr>
        <w:t>3. الوحدات الوظيفية داخل النطاق</w:t>
      </w:r>
    </w:p>
    <w:tbl>
      <w:tblPr>
        <w:tblStyle w:val="TableGrid"/>
        <w:tblW w:type="dxa" w:w="9360"/>
        <w:tblLayout w:type="fixed"/>
        <w:tblLook w:firstColumn="1" w:firstRow="1" w:lastColumn="0" w:lastRow="0" w:noHBand="0" w:noVBand="1" w:val="04A0"/>
        <w:jc w:val="center"/>
        <w:tblInd w:w="120" w:type="dxa"/>
      </w:tblPr>
      <w:tblGrid>
        <w:gridCol w:w="620"/>
        <w:gridCol w:w="2200"/>
        <w:gridCol w:w="6540"/>
      </w:tblGrid>
      <w:tr>
        <w:trPr>
          <w:tblHeader w:val="true"/>
        </w:trPr>
        <w:tc>
          <w:tcPr>
            <w:tcW w:type="dxa" w:w="620"/>
            <w:tcMar>
              <w:top w:w="100" w:type="dxa"/>
              <w:start w:w="120" w:type="dxa"/>
              <w:bottom w:w="100" w:type="dxa"/>
              <w:end w:w="120" w:type="dxa"/>
            </w:tcMar>
            <w:vAlign w:val="center"/>
            <w:shd w:fill="EAF2F8"/>
          </w:tcPr>
          <w:p>
            <w:pPr>
              <w:spacing w:after="0"/>
              <w:jc w:val="center"/>
              <w:bidi w:val="1"/>
            </w:pPr>
            <w:r>
              <w:rPr>
                <w:rFonts w:ascii="Arial" w:hAnsi="Arial" w:cs="Arial"/>
                <w:b/>
                <w:color w:val="17365D"/>
                <w:sz w:val="18"/>
              </w:rPr>
              <w:t>#</w:t>
            </w:r>
          </w:p>
        </w:tc>
        <w:tc>
          <w:tcPr>
            <w:tcW w:type="dxa" w:w="2200"/>
            <w:tcMar>
              <w:top w:w="100" w:type="dxa"/>
              <w:start w:w="120" w:type="dxa"/>
              <w:bottom w:w="100" w:type="dxa"/>
              <w:end w:w="120" w:type="dxa"/>
            </w:tcMar>
            <w:vAlign w:val="center"/>
            <w:shd w:fill="EAF2F8"/>
          </w:tcPr>
          <w:p>
            <w:pPr>
              <w:spacing w:after="0"/>
              <w:jc w:val="center"/>
              <w:bidi w:val="1"/>
            </w:pPr>
            <w:r>
              <w:rPr>
                <w:rFonts w:ascii="Arial" w:hAnsi="Arial" w:cs="Arial"/>
                <w:b/>
                <w:color w:val="17365D"/>
                <w:sz w:val="18"/>
              </w:rPr>
              <w:t>الوحدة</w:t>
            </w:r>
          </w:p>
        </w:tc>
        <w:tc>
          <w:tcPr>
            <w:tcW w:type="dxa" w:w="6540"/>
            <w:tcMar>
              <w:top w:w="100" w:type="dxa"/>
              <w:start w:w="120" w:type="dxa"/>
              <w:bottom w:w="100" w:type="dxa"/>
              <w:end w:w="120" w:type="dxa"/>
            </w:tcMar>
            <w:vAlign w:val="center"/>
            <w:shd w:fill="EAF2F8"/>
          </w:tcPr>
          <w:p>
            <w:pPr>
              <w:spacing w:after="0"/>
              <w:jc w:val="center"/>
              <w:bidi w:val="1"/>
            </w:pPr>
            <w:r>
              <w:rPr>
                <w:rFonts w:ascii="Arial" w:hAnsi="Arial" w:cs="Arial"/>
                <w:b/>
                <w:color w:val="17365D"/>
                <w:sz w:val="18"/>
              </w:rPr>
              <w:t>المحتوى الرئيسي</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1</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الحسابات والصلاحيات</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Login، إدارة السكرتيرات، تعطيل فوري، كلمة مرور مؤقتة، جلسة واحدة للمستخدم، 2FA للأدمن.</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2</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إعداد العيادة</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الأقسام، الغرف، التخصصات والخدمات، الأجهزة، الأسعار، المدد، الإيقاف والأرشفة.</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3</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الأطباء والجداول</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أطباء متعددون لكل تخصص، جداول أسبوعية، فترات متعددة، إجازات واستثناءات ونقل حجوزات.</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4</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ملفات المرضى</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رقم ملف، بحث بالهاتف، بيانات أساسية، ولي أمر، تاريخ علاجي، دمج المكرر، Soft Delete.</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5</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الحجز والكاليندر</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يومي/أسبوعي/شهري، عدة خدمات، منع تعارض الغرفة، قائمة انتظار، Walk-in، سحب وإفلات.</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6</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الخطط والباقات</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خطط جلسات ودفع لكل جلسة، باقات مدفوعة، رصيد، صلاحية، تجميد، سلسلة مواعيد.</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7</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التسعير والخصومات</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Price Snapshot، كشف/إعادة، سعر نبضة، خصم نسبة أو مبلغ، نطاق ومدة، خصم استثنائي.</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8</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التحصيل والكاشير</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تحصيل فردي أو جماعي، توزيع على الحجوزات، طرق دفع متعددة، Refund، مديونية وشطب.</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9</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الشيفتات</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جدولة، درج مستقل، رصيد بداية، إغلاق تلقائي زمنيًا، سماح 10 دقائق، عجز/زيادة وتصحيح.</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10</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لوحة الأدمن</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بحث مركب، فلاتر محفوظة، مؤشرات تشغيلية ومالية، مقارنة أقسام وأيام وشهور.</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11</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Audit &amp; Security</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سجل غير قابل للتعديل، قبل/بعد، تشفير، قفل محاولات، نسخ احتياطي واستعادة.</w:t>
            </w:r>
          </w:p>
        </w:tc>
      </w:tr>
      <w:tr>
        <w:tc>
          <w:tcPr>
            <w:tcW w:type="dxa" w:w="62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12</w:t>
            </w:r>
          </w:p>
        </w:tc>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Offline Read-only</w:t>
            </w:r>
          </w:p>
        </w:tc>
        <w:tc>
          <w:tcPr>
            <w:tcW w:type="dxa" w:w="654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PWA تحفظ واجهة وبيانات محدودة، تعرض آخر تحديث، وتعطل كل عمليات الكتابة دون إنترنت.</w:t>
            </w:r>
          </w:p>
        </w:tc>
      </w:tr>
    </w:tbl>
    <w:p>
      <w:pPr>
        <w:spacing w:after="40"/>
      </w:pPr>
    </w:p>
    <w:p>
      <w:pPr>
        <w:pStyle w:val="Heading1"/>
        <w:jc w:val="right"/>
        <w:keepNext/>
        <w:bidi w:val="1"/>
      </w:pPr>
      <w:r>
        <w:rPr>
          <w:rFonts w:ascii="Arial" w:hAnsi="Arial" w:cs="Arial"/>
          <w:b/>
          <w:color w:val="2E74B5"/>
        </w:rPr>
        <w:t>4. قواعد البزنس الحرجة</w:t>
      </w:r>
    </w:p>
    <w:p>
      <w:pPr>
        <w:pStyle w:val="ListBullet"/>
        <w:spacing w:after="80" w:line="264" w:lineRule="auto"/>
        <w:jc w:val="right"/>
        <w:bidi w:val="1"/>
      </w:pPr>
      <w:r>
        <w:rPr>
          <w:rFonts w:ascii="Arial" w:hAnsi="Arial" w:cs="Arial"/>
          <w:color w:val="1F2937"/>
          <w:sz w:val="21"/>
        </w:rPr>
        <w:t>القسم له غرفة واحدة؛ تعارض الغرفة منع كامل، ولا يمكن حجز مريضين في نفس الوقت.</w:t>
      </w:r>
    </w:p>
    <w:p>
      <w:pPr>
        <w:pStyle w:val="ListBullet"/>
        <w:spacing w:after="80" w:line="264" w:lineRule="auto"/>
        <w:jc w:val="right"/>
        <w:bidi w:val="1"/>
      </w:pPr>
      <w:r>
        <w:rPr>
          <w:rFonts w:ascii="Arial" w:hAnsi="Arial" w:cs="Arial"/>
          <w:color w:val="1F2937"/>
          <w:sz w:val="21"/>
        </w:rPr>
        <w:t>القسم أو الخدمة أو الجهاز يمكن إيقافه مؤقتًا أو أرشفته. الحجوزات الواقعة في فترة توقف القسم تصبح معلقة وتحتاج إعادة جدولة.</w:t>
      </w:r>
    </w:p>
    <w:p>
      <w:pPr>
        <w:pStyle w:val="ListBullet"/>
        <w:spacing w:after="80" w:line="264" w:lineRule="auto"/>
        <w:jc w:val="right"/>
        <w:bidi w:val="1"/>
      </w:pPr>
      <w:r>
        <w:rPr>
          <w:rFonts w:ascii="Arial" w:hAnsi="Arial" w:cs="Arial"/>
          <w:color w:val="1F2937"/>
          <w:sz w:val="21"/>
        </w:rPr>
        <w:t>الحجز داخل القسم يمكن أن يحتوي عدة خدمات؛ خدمات الأقسام المختلفة تنشئ مواعيد منفصلة ويمكن تحصيلها في عملية واحدة.</w:t>
      </w:r>
    </w:p>
    <w:p>
      <w:pPr>
        <w:pStyle w:val="ListBullet"/>
        <w:spacing w:after="80" w:line="264" w:lineRule="auto"/>
        <w:jc w:val="right"/>
        <w:bidi w:val="1"/>
      </w:pPr>
      <w:r>
        <w:rPr>
          <w:rFonts w:ascii="Arial" w:hAnsi="Arial" w:cs="Arial"/>
          <w:color w:val="1F2937"/>
          <w:sz w:val="21"/>
        </w:rPr>
        <w:t>مدة وسعر كل خدمة ثابتان وقت الحجز، وتغيير الأسعار لاحقًا لا يغير الحجوزات القديمة أو المستقبلية المنشأة بالفعل.</w:t>
      </w:r>
    </w:p>
    <w:p>
      <w:pPr>
        <w:pStyle w:val="ListBullet"/>
        <w:spacing w:after="80" w:line="264" w:lineRule="auto"/>
        <w:jc w:val="right"/>
        <w:bidi w:val="1"/>
      </w:pPr>
      <w:r>
        <w:rPr>
          <w:rFonts w:ascii="Arial" w:hAnsi="Arial" w:cs="Arial"/>
          <w:color w:val="1F2937"/>
          <w:sz w:val="21"/>
        </w:rPr>
        <w:t>اختيار الطبيب غير إجباري عند إنشاء الحجز، لكنه مطلوب قبل بدء الخدمة ما لم تكن الخدمة معرفة بأنها لا تحتاج طبيبًا.</w:t>
      </w:r>
    </w:p>
    <w:p>
      <w:pPr>
        <w:pStyle w:val="ListBullet"/>
        <w:spacing w:after="80" w:line="264" w:lineRule="auto"/>
        <w:jc w:val="right"/>
        <w:bidi w:val="1"/>
      </w:pPr>
      <w:r>
        <w:rPr>
          <w:rFonts w:ascii="Arial" w:hAnsi="Arial" w:cs="Arial"/>
          <w:color w:val="1F2937"/>
          <w:sz w:val="21"/>
        </w:rPr>
        <w:t>الحجز المتكرر لا يُنشأ إلا بعد تحديد كل المواعيد وفحص التعارضات.</w:t>
      </w:r>
    </w:p>
    <w:p>
      <w:pPr>
        <w:pStyle w:val="ListBullet"/>
        <w:spacing w:after="80" w:line="264" w:lineRule="auto"/>
        <w:jc w:val="right"/>
        <w:bidi w:val="1"/>
      </w:pPr>
      <w:r>
        <w:rPr>
          <w:rFonts w:ascii="Arial" w:hAnsi="Arial" w:cs="Arial"/>
          <w:color w:val="1F2937"/>
          <w:sz w:val="21"/>
        </w:rPr>
        <w:t>الإعادة خدمة منفصلة، ومدتها بعد الكشف يحددها الأدمن، مع تحذير وإمكانية تجاوز للأدمن.</w:t>
      </w:r>
    </w:p>
    <w:p>
      <w:pPr>
        <w:pStyle w:val="ListBullet"/>
        <w:spacing w:after="80" w:line="264" w:lineRule="auto"/>
        <w:jc w:val="right"/>
        <w:bidi w:val="1"/>
      </w:pPr>
      <w:r>
        <w:rPr>
          <w:rFonts w:ascii="Arial" w:hAnsi="Arial" w:cs="Arial"/>
          <w:color w:val="1F2937"/>
          <w:sz w:val="21"/>
        </w:rPr>
        <w:t>سعر الليزر = عدد النبضات الفعلي × سعر النبضة، ثم يطبق الخصم على الإجمالي.</w:t>
      </w:r>
    </w:p>
    <w:p>
      <w:pPr>
        <w:pStyle w:val="ListBullet"/>
        <w:spacing w:after="80" w:line="264" w:lineRule="auto"/>
        <w:jc w:val="right"/>
        <w:bidi w:val="1"/>
      </w:pPr>
      <w:r>
        <w:rPr>
          <w:rFonts w:ascii="Arial" w:hAnsi="Arial" w:cs="Arial"/>
          <w:color w:val="1F2937"/>
          <w:sz w:val="21"/>
        </w:rPr>
        <w:t>إنشاء حجز بأثر رجعي للأدمن فقط مع سبب، ولا يعاد فتح شيفت مالي مغلق.</w:t>
      </w:r>
    </w:p>
    <w:p>
      <w:pPr>
        <w:pStyle w:val="ListBullet"/>
        <w:spacing w:after="80" w:line="264" w:lineRule="auto"/>
        <w:jc w:val="right"/>
        <w:bidi w:val="1"/>
      </w:pPr>
      <w:r>
        <w:rPr>
          <w:rFonts w:ascii="Arial" w:hAnsi="Arial" w:cs="Arial"/>
          <w:color w:val="1F2937"/>
          <w:sz w:val="21"/>
        </w:rPr>
        <w:t>كل تعديل أو نقل أو تحصيل أو استرداد أو تغيير سعر يُنسب للمستخدم والشيفت ويُحفظ في Audit Log.</w:t>
      </w:r>
    </w:p>
    <w:p>
      <w:pPr>
        <w:pStyle w:val="Heading1"/>
        <w:jc w:val="right"/>
        <w:keepNext/>
        <w:bidi w:val="1"/>
      </w:pPr>
      <w:r>
        <w:rPr>
          <w:rFonts w:ascii="Arial" w:hAnsi="Arial" w:cs="Arial"/>
          <w:b/>
          <w:color w:val="2E74B5"/>
        </w:rPr>
        <w:t>5. دورة الحجز والتحصيل</w:t>
      </w:r>
    </w:p>
    <w:p>
      <w:pPr>
        <w:pStyle w:val="Heading2"/>
        <w:jc w:val="right"/>
        <w:keepNext/>
        <w:bidi w:val="1"/>
      </w:pPr>
      <w:r>
        <w:rPr>
          <w:rFonts w:ascii="Arial" w:hAnsi="Arial" w:cs="Arial"/>
          <w:b/>
          <w:color w:val="2E74B5"/>
        </w:rPr>
        <w:t>5.1 حالات الحجز والدفع</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tblHeader w:val="true"/>
        </w:trPr>
        <w:tc>
          <w:tcPr>
            <w:tcW w:type="dxa" w:w="2200"/>
            <w:tcMar>
              <w:top w:w="100" w:type="dxa"/>
              <w:start w:w="120" w:type="dxa"/>
              <w:bottom w:w="100" w:type="dxa"/>
              <w:end w:w="120" w:type="dxa"/>
            </w:tcMar>
            <w:vAlign w:val="center"/>
            <w:shd w:fill="F2F4F7"/>
          </w:tcPr>
          <w:p>
            <w:pPr>
              <w:spacing w:after="0"/>
              <w:jc w:val="center"/>
              <w:bidi w:val="1"/>
            </w:pPr>
            <w:r>
              <w:rPr>
                <w:rFonts w:ascii="Arial" w:hAnsi="Arial" w:cs="Arial"/>
                <w:b/>
                <w:color w:val="17365D"/>
                <w:sz w:val="18"/>
              </w:rPr>
              <w:t>المحور</w:t>
            </w:r>
          </w:p>
        </w:tc>
        <w:tc>
          <w:tcPr>
            <w:tcW w:type="dxa" w:w="7160"/>
            <w:tcMar>
              <w:top w:w="100" w:type="dxa"/>
              <w:start w:w="120" w:type="dxa"/>
              <w:bottom w:w="100" w:type="dxa"/>
              <w:end w:w="120" w:type="dxa"/>
            </w:tcMar>
            <w:vAlign w:val="center"/>
            <w:shd w:fill="F2F4F7"/>
          </w:tcPr>
          <w:p>
            <w:pPr>
              <w:spacing w:after="0"/>
              <w:jc w:val="center"/>
              <w:bidi w:val="1"/>
            </w:pPr>
            <w:r>
              <w:rPr>
                <w:rFonts w:ascii="Arial" w:hAnsi="Arial" w:cs="Arial"/>
                <w:b/>
                <w:color w:val="17365D"/>
                <w:sz w:val="18"/>
              </w:rPr>
              <w:t>القاعدة</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حالة الحجز</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محجوز، مكتمل، لم يحضر، ملغي. إعادة الجدولة عملية مسجلة وليست حالة دائمة.</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حالة الدفع</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غير مدفوع، مدفوع، مسترد. لا توجد حالة مؤجل مستقلة.</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مؤكد</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عرض مبسط للسكرتيرة يعني أن المبلغ تم تحصيله.</w:t>
            </w:r>
          </w:p>
        </w:tc>
      </w:tr>
      <w:tr>
        <w:tc>
          <w:tcPr>
            <w:tcW w:type="dxa" w:w="2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مكتمل غير مدفوع</w:t>
            </w:r>
          </w:p>
        </w:tc>
        <w:tc>
          <w:tcPr>
            <w:tcW w:type="dxa" w:w="7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9"/>
              </w:rPr>
              <w:t>مسموح؛ يظهر كمديونية حتى التحصيل الفعلي.</w:t>
            </w:r>
          </w:p>
        </w:tc>
      </w:tr>
    </w:tbl>
    <w:p>
      <w:pPr>
        <w:spacing w:after="40"/>
      </w:pPr>
    </w:p>
    <w:p>
      <w:pPr>
        <w:pStyle w:val="Heading2"/>
        <w:jc w:val="right"/>
        <w:keepNext/>
        <w:bidi w:val="1"/>
      </w:pPr>
      <w:r>
        <w:rPr>
          <w:rFonts w:ascii="Arial" w:hAnsi="Arial" w:cs="Arial"/>
          <w:b/>
          <w:color w:val="2E74B5"/>
        </w:rPr>
        <w:t>5.2 المسار الأساسي</w:t>
      </w:r>
    </w:p>
    <w:p>
      <w:pPr>
        <w:pStyle w:val="ListNumber"/>
        <w:spacing w:after="80"/>
        <w:jc w:val="right"/>
        <w:bidi w:val="1"/>
      </w:pPr>
      <w:r>
        <w:rPr>
          <w:rFonts w:ascii="Arial" w:hAnsi="Arial" w:cs="Arial"/>
          <w:color w:val="1F2937"/>
          <w:sz w:val="21"/>
        </w:rPr>
        <w:t>البحث عن المريض برقم الملف أو الهاتف، أو إنشاء ملف جديد.</w:t>
      </w:r>
    </w:p>
    <w:p>
      <w:pPr>
        <w:pStyle w:val="ListNumber"/>
        <w:spacing w:after="80"/>
        <w:jc w:val="right"/>
        <w:bidi w:val="1"/>
      </w:pPr>
      <w:r>
        <w:rPr>
          <w:rFonts w:ascii="Arial" w:hAnsi="Arial" w:cs="Arial"/>
          <w:color w:val="1F2937"/>
          <w:sz w:val="21"/>
        </w:rPr>
        <w:t>اختيار القسم ثم التخصص/الخدمة والطبيب إن توفر، مع احتساب المدة والسعر تلقائيًا.</w:t>
      </w:r>
    </w:p>
    <w:p>
      <w:pPr>
        <w:pStyle w:val="ListNumber"/>
        <w:spacing w:after="80"/>
        <w:jc w:val="right"/>
        <w:bidi w:val="1"/>
      </w:pPr>
      <w:r>
        <w:rPr>
          <w:rFonts w:ascii="Arial" w:hAnsi="Arial" w:cs="Arial"/>
          <w:color w:val="1F2937"/>
          <w:sz w:val="21"/>
        </w:rPr>
        <w:t>فحص الغرفة والطبيب والجهاز والتوقفات، ثم إنشاء الحجز أو إضافته لقائمة الانتظار.</w:t>
      </w:r>
    </w:p>
    <w:p>
      <w:pPr>
        <w:pStyle w:val="ListNumber"/>
        <w:spacing w:after="80"/>
        <w:jc w:val="right"/>
        <w:bidi w:val="1"/>
      </w:pPr>
      <w:r>
        <w:rPr>
          <w:rFonts w:ascii="Arial" w:hAnsi="Arial" w:cs="Arial"/>
          <w:color w:val="1F2937"/>
          <w:sz w:val="21"/>
        </w:rPr>
        <w:t>عند استلام المال تضغط السكرتيرة «تحصيل وتأكيد» وتحدد وسيلة أو أكثر للدفع.</w:t>
      </w:r>
    </w:p>
    <w:p>
      <w:pPr>
        <w:pStyle w:val="ListNumber"/>
        <w:spacing w:after="80"/>
        <w:jc w:val="right"/>
        <w:bidi w:val="1"/>
      </w:pPr>
      <w:r>
        <w:rPr>
          <w:rFonts w:ascii="Arial" w:hAnsi="Arial" w:cs="Arial"/>
          <w:color w:val="1F2937"/>
          <w:sz w:val="21"/>
        </w:rPr>
        <w:t>بعد الدفع لا تستطيع السكرتيرة تعديل أو إلغاء الحجز؛ يحتاج الأمر تدخل الأدمن.</w:t>
      </w:r>
    </w:p>
    <w:p>
      <w:pPr>
        <w:pStyle w:val="ListNumber"/>
        <w:spacing w:after="80"/>
        <w:jc w:val="right"/>
        <w:bidi w:val="1"/>
      </w:pPr>
      <w:r>
        <w:rPr>
          <w:rFonts w:ascii="Arial" w:hAnsi="Arial" w:cs="Arial"/>
          <w:color w:val="1F2937"/>
          <w:sz w:val="21"/>
        </w:rPr>
        <w:t>السكرتيرة تسجل اكتمال الزيارة؛ إيراد الكاشير يحسب بتاريخ التحصيل، والتقرير التشغيلي بتاريخ الزيارة.</w:t>
      </w:r>
    </w:p>
    <w:p>
      <w:pPr>
        <w:pStyle w:val="Heading1"/>
        <w:jc w:val="right"/>
        <w:keepNext/>
        <w:bidi w:val="1"/>
      </w:pPr>
      <w:r>
        <w:rPr>
          <w:rFonts w:ascii="Arial" w:hAnsi="Arial" w:cs="Arial"/>
          <w:b/>
          <w:color w:val="2E74B5"/>
        </w:rPr>
        <w:t>6. الباقات وخطط الجلسات</w:t>
      </w:r>
    </w:p>
    <w:p>
      <w:pPr>
        <w:pStyle w:val="ListBullet"/>
        <w:spacing w:after="80" w:line="264" w:lineRule="auto"/>
        <w:jc w:val="right"/>
        <w:bidi w:val="1"/>
      </w:pPr>
      <w:r>
        <w:rPr>
          <w:rFonts w:ascii="Arial" w:hAnsi="Arial" w:cs="Arial"/>
          <w:color w:val="1F2937"/>
          <w:sz w:val="21"/>
        </w:rPr>
        <w:t>خطة الجلسات: عدد مستهدف من المواعيد، والدفع لكل جلسة داخل شيفتها.</w:t>
      </w:r>
    </w:p>
    <w:p>
      <w:pPr>
        <w:pStyle w:val="ListBullet"/>
        <w:spacing w:after="80" w:line="264" w:lineRule="auto"/>
        <w:jc w:val="right"/>
        <w:bidi w:val="1"/>
      </w:pPr>
      <w:r>
        <w:rPr>
          <w:rFonts w:ascii="Arial" w:hAnsi="Arial" w:cs="Arial"/>
          <w:color w:val="1F2937"/>
          <w:sz w:val="21"/>
        </w:rPr>
        <w:t>الباقة المدفوعة: شراء عدد جلسات بسعر إجمالي ورصيد متبقٍ، مرتبطة بمريض وتخصص واحد.</w:t>
      </w:r>
    </w:p>
    <w:p>
      <w:pPr>
        <w:pStyle w:val="ListBullet"/>
        <w:spacing w:after="80" w:line="264" w:lineRule="auto"/>
        <w:jc w:val="right"/>
        <w:bidi w:val="1"/>
      </w:pPr>
      <w:r>
        <w:rPr>
          <w:rFonts w:ascii="Arial" w:hAnsi="Arial" w:cs="Arial"/>
          <w:color w:val="1F2937"/>
          <w:sz w:val="21"/>
        </w:rPr>
        <w:t>الجلسة تُحجز مؤقتًا من الرصيد، وتُستهلك نهائيًا عند اكتمال الزيارة.</w:t>
      </w:r>
    </w:p>
    <w:p>
      <w:pPr>
        <w:pStyle w:val="ListBullet"/>
        <w:spacing w:after="80" w:line="264" w:lineRule="auto"/>
        <w:jc w:val="right"/>
        <w:bidi w:val="1"/>
      </w:pPr>
      <w:r>
        <w:rPr>
          <w:rFonts w:ascii="Arial" w:hAnsi="Arial" w:cs="Arial"/>
          <w:color w:val="1F2937"/>
          <w:sz w:val="21"/>
        </w:rPr>
        <w:t>الأدمن يستطيع التجميد والتمديد وإضافة جلسات مجانية مع سبب وسجل كامل.</w:t>
      </w:r>
    </w:p>
    <w:p>
      <w:pPr>
        <w:pStyle w:val="ListBullet"/>
        <w:spacing w:after="80" w:line="264" w:lineRule="auto"/>
        <w:jc w:val="right"/>
        <w:bidi w:val="1"/>
      </w:pPr>
      <w:r>
        <w:rPr>
          <w:rFonts w:ascii="Arial" w:hAnsi="Arial" w:cs="Arial"/>
          <w:color w:val="1F2937"/>
          <w:sz w:val="21"/>
        </w:rPr>
        <w:t>إلغاء الباقة بعد الاستخدام يحسب الجلسات المستخدمة بالسعر الفردي قبل تحديد المبلغ القابل للاسترداد.</w:t>
      </w:r>
    </w:p>
    <w:p>
      <w:pPr>
        <w:pStyle w:val="Heading1"/>
        <w:jc w:val="right"/>
        <w:keepNext/>
        <w:bidi w:val="1"/>
      </w:pPr>
      <w:r>
        <w:rPr>
          <w:rFonts w:ascii="Arial" w:hAnsi="Arial" w:cs="Arial"/>
          <w:b/>
          <w:color w:val="2E74B5"/>
        </w:rPr>
        <w:t>7. الشيفت والكاشير</w:t>
      </w:r>
    </w:p>
    <w:tbl>
      <w:tblPr>
        <w:tblStyle w:val="TableGrid"/>
        <w:tblW w:type="dxa" w:w="9360"/>
        <w:tblLayout w:type="fixed"/>
        <w:tblLook w:firstColumn="1" w:firstRow="1" w:lastColumn="0" w:lastRow="0" w:noHBand="0" w:noVBand="1" w:val="04A0"/>
        <w:jc w:val="center"/>
        <w:tblInd w:w="120" w:type="dxa"/>
      </w:tblPr>
      <w:tblGrid>
        <w:gridCol w:w="1900"/>
        <w:gridCol w:w="7460"/>
      </w:tblGrid>
      <w:tr>
        <w:trPr>
          <w:tblHeader w:val="true"/>
        </w:trPr>
        <w:tc>
          <w:tcPr>
            <w:tcW w:type="dxa" w:w="1900"/>
            <w:tcMar>
              <w:top w:w="100" w:type="dxa"/>
              <w:start w:w="120" w:type="dxa"/>
              <w:bottom w:w="100" w:type="dxa"/>
              <w:end w:w="120" w:type="dxa"/>
            </w:tcMar>
            <w:vAlign w:val="center"/>
            <w:shd w:fill="F2F4F7"/>
          </w:tcPr>
          <w:p>
            <w:pPr>
              <w:spacing w:after="0"/>
              <w:jc w:val="center"/>
              <w:bidi w:val="1"/>
            </w:pPr>
            <w:r>
              <w:rPr>
                <w:rFonts w:ascii="Arial" w:hAnsi="Arial" w:cs="Arial"/>
                <w:b/>
                <w:color w:val="17365D"/>
                <w:sz w:val="18"/>
              </w:rPr>
              <w:t>المرحلة</w:t>
            </w:r>
          </w:p>
        </w:tc>
        <w:tc>
          <w:tcPr>
            <w:tcW w:type="dxa" w:w="7460"/>
            <w:tcMar>
              <w:top w:w="100" w:type="dxa"/>
              <w:start w:w="120" w:type="dxa"/>
              <w:bottom w:w="100" w:type="dxa"/>
              <w:end w:w="120" w:type="dxa"/>
            </w:tcMar>
            <w:vAlign w:val="center"/>
            <w:shd w:fill="F2F4F7"/>
          </w:tcPr>
          <w:p>
            <w:pPr>
              <w:spacing w:after="0"/>
              <w:jc w:val="center"/>
              <w:bidi w:val="1"/>
            </w:pPr>
            <w:r>
              <w:rPr>
                <w:rFonts w:ascii="Arial" w:hAnsi="Arial" w:cs="Arial"/>
                <w:b/>
                <w:color w:val="17365D"/>
                <w:sz w:val="18"/>
              </w:rPr>
              <w:t>القاعدة</w:t>
            </w:r>
          </w:p>
        </w:tc>
      </w:tr>
      <w:tr>
        <w:tc>
          <w:tcPr>
            <w:tcW w:type="dxa" w:w="19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الجدولة</w:t>
            </w:r>
          </w:p>
        </w:tc>
        <w:tc>
          <w:tcPr>
            <w:tcW w:type="dxa" w:w="74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الأدمن يحدد شيفتات أسبوعية واستثنائية. يمنع تداخل شيفتين للسكرتيرة نفسها ويسمح لموظفتين مختلفتين.</w:t>
            </w:r>
          </w:p>
        </w:tc>
      </w:tr>
      <w:tr>
        <w:tc>
          <w:tcPr>
            <w:tcW w:type="dxa" w:w="19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البداية</w:t>
            </w:r>
          </w:p>
        </w:tc>
        <w:tc>
          <w:tcPr>
            <w:tcW w:type="dxa" w:w="74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الشيفت يبدأ في موعده. عند أول دخول تسجل السكرتيرة الرصيد الفعلي قبل السماح بالتحصيل.</w:t>
            </w:r>
          </w:p>
        </w:tc>
      </w:tr>
      <w:tr>
        <w:tc>
          <w:tcPr>
            <w:tcW w:type="dxa" w:w="19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التحصيل</w:t>
            </w:r>
          </w:p>
        </w:tc>
        <w:tc>
          <w:tcPr>
            <w:tcW w:type="dxa" w:w="74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كل حركة ترتبط بالسكرتيرة والدرج والشيفت. لا يوجد تحصيل خارج شيفت؛ الأدمن ينشئ شيفتًا استثنائيًا.</w:t>
            </w:r>
          </w:p>
        </w:tc>
      </w:tr>
      <w:tr>
        <w:tc>
          <w:tcPr>
            <w:tcW w:type="dxa" w:w="19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النهاية</w:t>
            </w:r>
          </w:p>
        </w:tc>
        <w:tc>
          <w:tcPr>
            <w:tcW w:type="dxa" w:w="74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تتوقف العمليات عند نهاية الشيفت مع فترة سماح افتراضية 10 دقائق قابلة للتعديل.</w:t>
            </w:r>
          </w:p>
        </w:tc>
      </w:tr>
      <w:tr>
        <w:tc>
          <w:tcPr>
            <w:tcW w:type="dxa" w:w="19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المطابقة</w:t>
            </w:r>
          </w:p>
        </w:tc>
        <w:tc>
          <w:tcPr>
            <w:tcW w:type="dxa" w:w="74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تدخل السكرتيرة الرصيد الفعلي أولًا؛ ثم يعرض النظام المتوقع والفرق لكل وسيلة دفع والإجمالي.</w:t>
            </w:r>
          </w:p>
        </w:tc>
      </w:tr>
      <w:tr>
        <w:tc>
          <w:tcPr>
            <w:tcW w:type="dxa" w:w="19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الفرق</w:t>
            </w:r>
          </w:p>
        </w:tc>
        <w:tc>
          <w:tcPr>
            <w:tcW w:type="dxa" w:w="74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أي عجز أو زيادة يسجل، والسبب إجباري. تغلق السكرتيرة الشيفت ويظهر للأدمن حتى يضع علامة تمت المراجعة.</w:t>
            </w:r>
          </w:p>
        </w:tc>
      </w:tr>
      <w:tr>
        <w:tc>
          <w:tcPr>
            <w:tcW w:type="dxa" w:w="19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التصحيح</w:t>
            </w:r>
          </w:p>
        </w:tc>
        <w:tc>
          <w:tcPr>
            <w:tcW w:type="dxa" w:w="74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لا يعاد فتح الشيفت؛ ينفذ الأدمن حركة تصحيح مستقلة تحفظ أثر العملية القديمة.</w:t>
            </w:r>
          </w:p>
        </w:tc>
      </w:tr>
    </w:tbl>
    <w:p>
      <w:pPr>
        <w:spacing w:after="40"/>
      </w:pPr>
    </w:p>
    <w:p>
      <w:pPr>
        <w:pStyle w:val="Heading1"/>
        <w:jc w:val="right"/>
        <w:keepNext/>
        <w:bidi w:val="1"/>
      </w:pPr>
      <w:r>
        <w:rPr>
          <w:rFonts w:ascii="Arial" w:hAnsi="Arial" w:cs="Arial"/>
          <w:b/>
          <w:color w:val="2E74B5"/>
        </w:rPr>
        <w:t>8. لوحة الأدمن والتقارير</w:t>
      </w:r>
    </w:p>
    <w:p>
      <w:pPr>
        <w:pStyle w:val="ListBullet"/>
        <w:spacing w:after="80" w:line="264" w:lineRule="auto"/>
        <w:jc w:val="right"/>
        <w:bidi w:val="1"/>
      </w:pPr>
      <w:r>
        <w:rPr>
          <w:rFonts w:ascii="Arial" w:hAnsi="Arial" w:cs="Arial"/>
          <w:color w:val="1F2937"/>
          <w:sz w:val="21"/>
        </w:rPr>
        <w:t>Dashboard رقمية بلا رسوم بيانية: إيراد اليوم، Cash/وسائل إلكترونية، الحجوزات، الديون، Refunds، فروق الشيفتات والحجوزات المعلقة.</w:t>
      </w:r>
    </w:p>
    <w:p>
      <w:pPr>
        <w:pStyle w:val="ListBullet"/>
        <w:spacing w:after="80" w:line="264" w:lineRule="auto"/>
        <w:jc w:val="right"/>
        <w:bidi w:val="1"/>
      </w:pPr>
      <w:r>
        <w:rPr>
          <w:rFonts w:ascii="Arial" w:hAnsi="Arial" w:cs="Arial"/>
          <w:color w:val="1F2937"/>
          <w:sz w:val="21"/>
        </w:rPr>
        <w:t>بحث بالاسم والهاتف ورقم الملف ورقم الحجز، مع دمج عدة فلاتر وحفظ مجموعات الفلاتر.</w:t>
      </w:r>
    </w:p>
    <w:p>
      <w:pPr>
        <w:pStyle w:val="ListBullet"/>
        <w:spacing w:after="80" w:line="264" w:lineRule="auto"/>
        <w:jc w:val="right"/>
        <w:bidi w:val="1"/>
      </w:pPr>
      <w:r>
        <w:rPr>
          <w:rFonts w:ascii="Arial" w:hAnsi="Arial" w:cs="Arial"/>
          <w:color w:val="1F2937"/>
          <w:sz w:val="21"/>
        </w:rPr>
        <w:t>فلاتر: الفترة، القسم، الخدمة، الطبيب، السكرتيرة، الشيفت، الحالة، الدفع، النوع، العمر والمنطقة.</w:t>
      </w:r>
    </w:p>
    <w:p>
      <w:pPr>
        <w:pStyle w:val="ListBullet"/>
        <w:spacing w:after="80" w:line="264" w:lineRule="auto"/>
        <w:jc w:val="right"/>
        <w:bidi w:val="1"/>
      </w:pPr>
      <w:r>
        <w:rPr>
          <w:rFonts w:ascii="Arial" w:hAnsi="Arial" w:cs="Arial"/>
          <w:color w:val="1F2937"/>
          <w:sz w:val="21"/>
        </w:rPr>
        <w:t>تقارير مقارنة الأقسام والأيام والشهور، وإيراد كل طبيب للمعلومة فقط، وعدد الجلسات والنبضات والأجهزة والمرضى الجدد والعائدين.</w:t>
      </w:r>
    </w:p>
    <w:p>
      <w:pPr>
        <w:pStyle w:val="ListBullet"/>
        <w:spacing w:after="80" w:line="264" w:lineRule="auto"/>
        <w:jc w:val="right"/>
        <w:bidi w:val="1"/>
      </w:pPr>
      <w:r>
        <w:rPr>
          <w:rFonts w:ascii="Arial" w:hAnsi="Arial" w:cs="Arial"/>
          <w:color w:val="1F2937"/>
          <w:sz w:val="21"/>
        </w:rPr>
        <w:t>التقرير المالي الأساسي حسب تاريخ التحصيل، مع تقرير تشغيلي منفصل حسب تاريخ الزيارة.</w:t>
      </w:r>
    </w:p>
    <w:p>
      <w:pPr>
        <w:pStyle w:val="ListBullet"/>
        <w:spacing w:after="80" w:line="264" w:lineRule="auto"/>
        <w:jc w:val="right"/>
        <w:bidi w:val="1"/>
      </w:pPr>
      <w:r>
        <w:rPr>
          <w:rFonts w:ascii="Arial" w:hAnsi="Arial" w:cs="Arial"/>
          <w:color w:val="1F2937"/>
          <w:sz w:val="21"/>
        </w:rPr>
        <w:t>تقارير الشيفت داخل النظام فقط في النطاق الحالي؛ تصدير بيانات أساسية Excel للأدمن مطلوب.</w:t>
      </w:r>
    </w:p>
    <w:p>
      <w:pPr>
        <w:pStyle w:val="Heading1"/>
        <w:jc w:val="right"/>
        <w:keepNext/>
        <w:bidi w:val="1"/>
      </w:pPr>
      <w:r>
        <w:rPr>
          <w:rFonts w:ascii="Arial" w:hAnsi="Arial" w:cs="Arial"/>
          <w:b/>
          <w:color w:val="2E74B5"/>
        </w:rPr>
        <w:t>9. المتطلبات غير الوظيفية</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tblHeader w:val="true"/>
        </w:trPr>
        <w:tc>
          <w:tcPr>
            <w:tcW w:type="dxa" w:w="2100"/>
            <w:tcMar>
              <w:top w:w="100" w:type="dxa"/>
              <w:start w:w="120" w:type="dxa"/>
              <w:bottom w:w="100" w:type="dxa"/>
              <w:end w:w="120" w:type="dxa"/>
            </w:tcMar>
            <w:vAlign w:val="center"/>
            <w:shd w:fill="F2F4F7"/>
          </w:tcPr>
          <w:p>
            <w:pPr>
              <w:spacing w:after="0"/>
              <w:jc w:val="center"/>
              <w:bidi w:val="1"/>
            </w:pPr>
            <w:r>
              <w:rPr>
                <w:rFonts w:ascii="Arial" w:hAnsi="Arial" w:cs="Arial"/>
                <w:b/>
                <w:color w:val="17365D"/>
                <w:sz w:val="18"/>
              </w:rPr>
              <w:t>المجال</w:t>
            </w:r>
          </w:p>
        </w:tc>
        <w:tc>
          <w:tcPr>
            <w:tcW w:type="dxa" w:w="7260"/>
            <w:tcMar>
              <w:top w:w="100" w:type="dxa"/>
              <w:start w:w="120" w:type="dxa"/>
              <w:bottom w:w="100" w:type="dxa"/>
              <w:end w:w="120" w:type="dxa"/>
            </w:tcMar>
            <w:vAlign w:val="center"/>
            <w:shd w:fill="F2F4F7"/>
          </w:tcPr>
          <w:p>
            <w:pPr>
              <w:spacing w:after="0"/>
              <w:jc w:val="center"/>
              <w:bidi w:val="1"/>
            </w:pPr>
            <w:r>
              <w:rPr>
                <w:rFonts w:ascii="Arial" w:hAnsi="Arial" w:cs="Arial"/>
                <w:b/>
                <w:color w:val="17365D"/>
                <w:sz w:val="18"/>
              </w:rPr>
              <w:t>المطلب</w:t>
            </w:r>
          </w:p>
        </w:tc>
      </w:tr>
      <w:tr>
        <w:tc>
          <w:tcPr>
            <w:tcW w:type="dxa" w:w="21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اللغة وتجربة الاستخدام</w:t>
            </w:r>
          </w:p>
        </w:tc>
        <w:tc>
          <w:tcPr>
            <w:tcW w:type="dxa" w:w="72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عربي RTL، مصطلحات بسيطة، خطوات قليلة، Responsive ممتاز، ومراعاة أن السكرتيرة قليلة الخبرة التقنية.</w:t>
            </w:r>
          </w:p>
        </w:tc>
      </w:tr>
      <w:tr>
        <w:tc>
          <w:tcPr>
            <w:tcW w:type="dxa" w:w="21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الأمان</w:t>
            </w:r>
          </w:p>
        </w:tc>
        <w:tc>
          <w:tcPr>
            <w:tcW w:type="dxa" w:w="72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HTTPS، تشفير كلمات المرور، TOTP للأدمن، 5 محاولات ثم قفل قصير، جلسة واحدة، Timeout بعد 30 دقيقة.</w:t>
            </w:r>
          </w:p>
        </w:tc>
      </w:tr>
      <w:tr>
        <w:tc>
          <w:tcPr>
            <w:tcW w:type="dxa" w:w="21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البيانات</w:t>
            </w:r>
          </w:p>
        </w:tc>
        <w:tc>
          <w:tcPr>
            <w:tcW w:type="dxa" w:w="72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Soft Delete، دمج مكرر، Audit غير قابل للتعديل، وتقييد الملاحظات الحساسة على الأدمن.</w:t>
            </w:r>
          </w:p>
        </w:tc>
      </w:tr>
      <w:tr>
        <w:tc>
          <w:tcPr>
            <w:tcW w:type="dxa" w:w="21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النسخ الاحتياطي</w:t>
            </w:r>
          </w:p>
        </w:tc>
        <w:tc>
          <w:tcPr>
            <w:tcW w:type="dxa" w:w="72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يومي مشفر خارج الخادم، أسبوعي وشهري، واختبار استعادة دوري. السياسة النهائية حسب التكلفة.</w:t>
            </w:r>
          </w:p>
        </w:tc>
      </w:tr>
      <w:tr>
        <w:tc>
          <w:tcPr>
            <w:tcW w:type="dxa" w:w="21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Offline</w:t>
            </w:r>
          </w:p>
        </w:tc>
        <w:tc>
          <w:tcPr>
            <w:tcW w:type="dxa" w:w="72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قراءة محدودة لآخر بيانات مخزنة، إظهار وقت آخر تحديث، منع Login جديد ومنع كل الكتابة والتحصيل.</w:t>
            </w:r>
          </w:p>
        </w:tc>
      </w:tr>
      <w:tr>
        <w:tc>
          <w:tcPr>
            <w:tcW w:type="dxa" w:w="21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التوافق</w:t>
            </w:r>
          </w:p>
        </w:tc>
        <w:tc>
          <w:tcPr>
            <w:tcW w:type="dxa" w:w="72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آخر نسختين من Chrome وEdge وSafari وFirefox، ودعم الكمبيوتر والتابلت والموبايل.</w:t>
            </w:r>
          </w:p>
        </w:tc>
      </w:tr>
      <w:tr>
        <w:tc>
          <w:tcPr>
            <w:tcW w:type="dxa" w:w="21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النشر</w:t>
            </w:r>
          </w:p>
        </w:tc>
        <w:tc>
          <w:tcPr>
            <w:tcW w:type="dxa" w:w="72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Cloud منخفض التكلفة، Production منفصل، وStaging مؤقت ببيانات وهمية وقت الإصدار.</w:t>
            </w:r>
          </w:p>
        </w:tc>
      </w:tr>
    </w:tbl>
    <w:p>
      <w:pPr>
        <w:spacing w:after="40"/>
      </w:pPr>
    </w:p>
    <w:p>
      <w:pPr>
        <w:pStyle w:val="Heading1"/>
        <w:jc w:val="right"/>
        <w:keepNext/>
        <w:bidi w:val="1"/>
      </w:pPr>
      <w:r>
        <w:rPr>
          <w:rFonts w:ascii="Arial" w:hAnsi="Arial" w:cs="Arial"/>
          <w:b/>
          <w:color w:val="2E74B5"/>
        </w:rPr>
        <w:t>10. توجيهات UI/UX اللازمة للتقدير</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E6"/>
          </w:tcPr>
          <w:p>
            <w:pPr>
              <w:spacing w:after="0"/>
              <w:jc w:val="right"/>
              <w:bidi w:val="1"/>
            </w:pPr>
            <w:r>
              <w:rPr>
                <w:rFonts w:ascii="Arial" w:hAnsi="Arial" w:cs="Arial"/>
                <w:b/>
                <w:color w:val="8A5A00"/>
                <w:sz w:val="21"/>
              </w:rPr>
              <w:t xml:space="preserve">قاعدة التصميم: </w:t>
            </w:r>
            <w:r>
              <w:rPr>
                <w:rFonts w:ascii="Arial" w:hAnsi="Arial" w:cs="Arial"/>
                <w:color w:val="1F2937"/>
                <w:sz w:val="21"/>
              </w:rPr>
              <w:t>مسار السكرتيرة يجب أن يكون أسرع وأبسط من لوحة الأدمن؛ لا تعرض خيارات إدارية أو مصطلحات محاسبية غير ضرورية.</w:t>
            </w:r>
          </w:p>
        </w:tc>
      </w:tr>
    </w:tbl>
    <w:p>
      <w:pPr>
        <w:spacing w:after="40"/>
      </w:pPr>
    </w:p>
    <w:p>
      <w:pPr>
        <w:pStyle w:val="ListBullet"/>
        <w:spacing w:after="80" w:line="264" w:lineRule="auto"/>
        <w:jc w:val="right"/>
        <w:bidi w:val="1"/>
      </w:pPr>
      <w:r>
        <w:rPr>
          <w:rFonts w:ascii="Arial" w:hAnsi="Arial" w:cs="Arial"/>
          <w:color w:val="1F2937"/>
          <w:sz w:val="21"/>
        </w:rPr>
        <w:t>Dashboard السكرتيرة يبدأ بحجوزات اليوم، الكاليندر، بحث سريع، وإضافة حجز واضحة.</w:t>
      </w:r>
    </w:p>
    <w:p>
      <w:pPr>
        <w:pStyle w:val="ListBullet"/>
        <w:spacing w:after="80" w:line="264" w:lineRule="auto"/>
        <w:jc w:val="right"/>
        <w:bidi w:val="1"/>
      </w:pPr>
      <w:r>
        <w:rPr>
          <w:rFonts w:ascii="Arial" w:hAnsi="Arial" w:cs="Arial"/>
          <w:color w:val="1F2937"/>
          <w:sz w:val="21"/>
        </w:rPr>
        <w:t>Wizard قصير للحجز: القسم والخدمة ← المريض ← الموعد ← المراجعة؛ مع تعبئة السعر والمدة تلقائيًا.</w:t>
      </w:r>
    </w:p>
    <w:p>
      <w:pPr>
        <w:pStyle w:val="ListBullet"/>
        <w:spacing w:after="80" w:line="264" w:lineRule="auto"/>
        <w:jc w:val="right"/>
        <w:bidi w:val="1"/>
      </w:pPr>
      <w:r>
        <w:rPr>
          <w:rFonts w:ascii="Arial" w:hAnsi="Arial" w:cs="Arial"/>
          <w:color w:val="1F2937"/>
          <w:sz w:val="21"/>
        </w:rPr>
        <w:t>ألوان الحالات ليست الوسيلة الوحيدة للتمييز؛ يجب إظهار اسم الحالة نصيًا.</w:t>
      </w:r>
    </w:p>
    <w:p>
      <w:pPr>
        <w:pStyle w:val="ListBullet"/>
        <w:spacing w:after="80" w:line="264" w:lineRule="auto"/>
        <w:jc w:val="right"/>
        <w:bidi w:val="1"/>
      </w:pPr>
      <w:r>
        <w:rPr>
          <w:rFonts w:ascii="Arial" w:hAnsi="Arial" w:cs="Arial"/>
          <w:color w:val="1F2937"/>
          <w:sz w:val="21"/>
        </w:rPr>
        <w:t>زر «تحصيل وتأكيد» واضح، مع Confirmation يمنع التحصيل العرضي أو المكرر.</w:t>
      </w:r>
    </w:p>
    <w:p>
      <w:pPr>
        <w:pStyle w:val="ListBullet"/>
        <w:spacing w:after="80" w:line="264" w:lineRule="auto"/>
        <w:jc w:val="right"/>
        <w:bidi w:val="1"/>
      </w:pPr>
      <w:r>
        <w:rPr>
          <w:rFonts w:ascii="Arial" w:hAnsi="Arial" w:cs="Arial"/>
          <w:color w:val="1F2937"/>
          <w:sz w:val="21"/>
        </w:rPr>
        <w:t>الشاشات الحساسة تعرض سبب المنع وخطوة الحل بدل رسائل خطأ تقنية.</w:t>
      </w:r>
    </w:p>
    <w:p>
      <w:pPr>
        <w:pStyle w:val="ListBullet"/>
        <w:spacing w:after="80" w:line="264" w:lineRule="auto"/>
        <w:jc w:val="right"/>
        <w:bidi w:val="1"/>
      </w:pPr>
      <w:r>
        <w:rPr>
          <w:rFonts w:ascii="Arial" w:hAnsi="Arial" w:cs="Arial"/>
          <w:color w:val="1F2937"/>
          <w:sz w:val="21"/>
        </w:rPr>
        <w:t>Offline يظهر كشريط ثابت مع آخر تحديث، وتعطيل مرئي لكل أزرار الكتابة.</w:t>
      </w:r>
    </w:p>
    <w:p>
      <w:pPr>
        <w:pStyle w:val="ListBullet"/>
        <w:spacing w:after="80" w:line="264" w:lineRule="auto"/>
        <w:jc w:val="right"/>
        <w:bidi w:val="1"/>
      </w:pPr>
      <w:r>
        <w:rPr>
          <w:rFonts w:ascii="Arial" w:hAnsi="Arial" w:cs="Arial"/>
          <w:color w:val="1F2937"/>
          <w:sz w:val="21"/>
        </w:rPr>
        <w:t>لوحة الأدمن أكثر كثافة، لكن تعتمد Progressive Disclosure وفلاتر قابلة للحفظ.</w:t>
      </w:r>
    </w:p>
    <w:p>
      <w:pPr>
        <w:pStyle w:val="Heading1"/>
        <w:jc w:val="right"/>
        <w:keepNext/>
        <w:bidi w:val="1"/>
      </w:pPr>
      <w:r>
        <w:rPr>
          <w:rFonts w:ascii="Arial" w:hAnsi="Arial" w:cs="Arial"/>
          <w:b/>
          <w:color w:val="2E74B5"/>
        </w:rPr>
        <w:t>11. ما هو خارج النطاق الحالي</w:t>
      </w:r>
    </w:p>
    <w:p>
      <w:pPr>
        <w:pStyle w:val="ListBullet"/>
        <w:spacing w:after="80" w:line="264" w:lineRule="auto"/>
        <w:jc w:val="right"/>
        <w:bidi w:val="1"/>
      </w:pPr>
      <w:r>
        <w:rPr>
          <w:rFonts w:ascii="Arial" w:hAnsi="Arial" w:cs="Arial"/>
          <w:color w:val="1F2937"/>
          <w:sz w:val="21"/>
        </w:rPr>
        <w:t>تسجيل أو بوابة ذاتية للمرضى، وحجز Online بواسطة المريض.</w:t>
      </w:r>
    </w:p>
    <w:p>
      <w:pPr>
        <w:pStyle w:val="ListBullet"/>
        <w:spacing w:after="80" w:line="264" w:lineRule="auto"/>
        <w:jc w:val="right"/>
        <w:bidi w:val="1"/>
      </w:pPr>
      <w:r>
        <w:rPr>
          <w:rFonts w:ascii="Arial" w:hAnsi="Arial" w:cs="Arial"/>
          <w:color w:val="1F2937"/>
          <w:sz w:val="21"/>
        </w:rPr>
        <w:t>حسابات أو Portal للأطباء.</w:t>
      </w:r>
    </w:p>
    <w:p>
      <w:pPr>
        <w:pStyle w:val="ListBullet"/>
        <w:spacing w:after="80" w:line="264" w:lineRule="auto"/>
        <w:jc w:val="right"/>
        <w:bidi w:val="1"/>
      </w:pPr>
      <w:r>
        <w:rPr>
          <w:rFonts w:ascii="Arial" w:hAnsi="Arial" w:cs="Arial"/>
          <w:color w:val="1F2937"/>
          <w:sz w:val="21"/>
        </w:rPr>
        <w:t>بوابة دفع إلكترونية أو ربط مباشر بالبنوك وماكينات POS.</w:t>
      </w:r>
    </w:p>
    <w:p>
      <w:pPr>
        <w:pStyle w:val="ListBullet"/>
        <w:spacing w:after="80" w:line="264" w:lineRule="auto"/>
        <w:jc w:val="right"/>
        <w:bidi w:val="1"/>
      </w:pPr>
      <w:r>
        <w:rPr>
          <w:rFonts w:ascii="Arial" w:hAnsi="Arial" w:cs="Arial"/>
          <w:color w:val="1F2937"/>
          <w:sz w:val="21"/>
        </w:rPr>
        <w:t>تطبيق Native للموبايل.</w:t>
      </w:r>
    </w:p>
    <w:p>
      <w:pPr>
        <w:pStyle w:val="ListBullet"/>
        <w:spacing w:after="80" w:line="264" w:lineRule="auto"/>
        <w:jc w:val="right"/>
        <w:bidi w:val="1"/>
      </w:pPr>
      <w:r>
        <w:rPr>
          <w:rFonts w:ascii="Arial" w:hAnsi="Arial" w:cs="Arial"/>
          <w:color w:val="1F2937"/>
          <w:sz w:val="21"/>
        </w:rPr>
        <w:t>إنشاء وتعديل وتحصل كامل Offline أو مزامنة Local/Cloud ثنائية الاتجاه.</w:t>
      </w:r>
    </w:p>
    <w:p>
      <w:pPr>
        <w:pStyle w:val="ListBullet"/>
        <w:spacing w:after="80" w:line="264" w:lineRule="auto"/>
        <w:jc w:val="right"/>
        <w:bidi w:val="1"/>
      </w:pPr>
      <w:r>
        <w:rPr>
          <w:rFonts w:ascii="Arial" w:hAnsi="Arial" w:cs="Arial"/>
          <w:color w:val="1F2937"/>
          <w:sz w:val="21"/>
        </w:rPr>
        <w:t>إدارة المخزون والمصروفات والرواتب والحضور وعمولات الأطباء.</w:t>
      </w:r>
    </w:p>
    <w:p>
      <w:pPr>
        <w:pStyle w:val="ListBullet"/>
        <w:spacing w:after="80" w:line="264" w:lineRule="auto"/>
        <w:jc w:val="right"/>
        <w:bidi w:val="1"/>
      </w:pPr>
      <w:r>
        <w:rPr>
          <w:rFonts w:ascii="Arial" w:hAnsi="Arial" w:cs="Arial"/>
          <w:color w:val="1F2937"/>
          <w:sz w:val="21"/>
        </w:rPr>
        <w:t>رفع التحاليل والصور والمرفقات الطبية في الإصدار الحالي.</w:t>
      </w:r>
    </w:p>
    <w:p>
      <w:pPr>
        <w:pStyle w:val="ListBullet"/>
        <w:spacing w:after="80" w:line="264" w:lineRule="auto"/>
        <w:jc w:val="right"/>
        <w:bidi w:val="1"/>
      </w:pPr>
      <w:r>
        <w:rPr>
          <w:rFonts w:ascii="Arial" w:hAnsi="Arial" w:cs="Arial"/>
          <w:color w:val="1F2937"/>
          <w:sz w:val="21"/>
        </w:rPr>
        <w:t>إيصالات مطبوعة أو فواتير ضريبية أو تكامل محاسبي/حكومي.</w:t>
      </w:r>
    </w:p>
    <w:p>
      <w:pPr>
        <w:pStyle w:val="ListBullet"/>
        <w:spacing w:after="80" w:line="264" w:lineRule="auto"/>
        <w:jc w:val="right"/>
        <w:bidi w:val="1"/>
      </w:pPr>
      <w:r>
        <w:rPr>
          <w:rFonts w:ascii="Arial" w:hAnsi="Arial" w:cs="Arial"/>
          <w:color w:val="1F2937"/>
          <w:sz w:val="21"/>
        </w:rPr>
        <w:t>نظام متعدد الفروع.</w:t>
      </w:r>
    </w:p>
    <w:p>
      <w:pPr>
        <w:pStyle w:val="ListBullet"/>
        <w:spacing w:after="80" w:line="264" w:lineRule="auto"/>
        <w:jc w:val="right"/>
        <w:bidi w:val="1"/>
      </w:pPr>
      <w:r>
        <w:rPr>
          <w:rFonts w:ascii="Arial" w:hAnsi="Arial" w:cs="Arial"/>
          <w:color w:val="1F2937"/>
          <w:sz w:val="21"/>
        </w:rPr>
        <w:t>صياغة سياسة خصوصية أو استشارة قانونية، وSLA مالي رسمي.</w:t>
      </w:r>
    </w:p>
    <w:p>
      <w:pPr>
        <w:pStyle w:val="Heading1"/>
        <w:jc w:val="right"/>
        <w:keepNext/>
        <w:bidi w:val="1"/>
      </w:pPr>
      <w:r>
        <w:rPr>
          <w:rFonts w:ascii="Arial" w:hAnsi="Arial" w:cs="Arial"/>
          <w:b/>
          <w:color w:val="2E74B5"/>
        </w:rPr>
        <w:t>12. قرارات مطلوبة من العميل قبل العرض الملزم</w:t>
      </w:r>
    </w:p>
    <w:tbl>
      <w:tblPr>
        <w:tblStyle w:val="TableGrid"/>
        <w:tblW w:type="dxa" w:w="9360"/>
        <w:tblLayout w:type="fixed"/>
        <w:tblLook w:firstColumn="1" w:firstRow="1" w:lastColumn="0" w:lastRow="0" w:noHBand="0" w:noVBand="1" w:val="04A0"/>
        <w:jc w:val="center"/>
        <w:tblInd w:w="120" w:type="dxa"/>
      </w:tblPr>
      <w:tblGrid>
        <w:gridCol w:w="850"/>
        <w:gridCol w:w="2050"/>
        <w:gridCol w:w="5160"/>
        <w:gridCol w:w="1300"/>
      </w:tblGrid>
      <w:tr>
        <w:trPr>
          <w:tblHeader w:val="true"/>
        </w:trPr>
        <w:tc>
          <w:tcPr>
            <w:tcW w:type="dxa" w:w="850"/>
            <w:tcMar>
              <w:top w:w="100" w:type="dxa"/>
              <w:start w:w="120" w:type="dxa"/>
              <w:bottom w:w="100" w:type="dxa"/>
              <w:end w:w="120" w:type="dxa"/>
            </w:tcMar>
            <w:vAlign w:val="center"/>
            <w:shd w:fill="FFF7E6"/>
          </w:tcPr>
          <w:p>
            <w:pPr>
              <w:spacing w:after="0"/>
              <w:jc w:val="center"/>
              <w:bidi w:val="1"/>
            </w:pPr>
            <w:r>
              <w:rPr>
                <w:rFonts w:ascii="Arial" w:hAnsi="Arial" w:cs="Arial"/>
                <w:b/>
                <w:color w:val="17365D"/>
                <w:sz w:val="18"/>
              </w:rPr>
              <w:t>الرقم</w:t>
            </w:r>
          </w:p>
        </w:tc>
        <w:tc>
          <w:tcPr>
            <w:tcW w:type="dxa" w:w="2050"/>
            <w:tcMar>
              <w:top w:w="100" w:type="dxa"/>
              <w:start w:w="120" w:type="dxa"/>
              <w:bottom w:w="100" w:type="dxa"/>
              <w:end w:w="120" w:type="dxa"/>
            </w:tcMar>
            <w:vAlign w:val="center"/>
            <w:shd w:fill="FFF7E6"/>
          </w:tcPr>
          <w:p>
            <w:pPr>
              <w:spacing w:after="0"/>
              <w:jc w:val="center"/>
              <w:bidi w:val="1"/>
            </w:pPr>
            <w:r>
              <w:rPr>
                <w:rFonts w:ascii="Arial" w:hAnsi="Arial" w:cs="Arial"/>
                <w:b/>
                <w:color w:val="17365D"/>
                <w:sz w:val="18"/>
              </w:rPr>
              <w:t>القرار</w:t>
            </w:r>
          </w:p>
        </w:tc>
        <w:tc>
          <w:tcPr>
            <w:tcW w:type="dxa" w:w="5160"/>
            <w:tcMar>
              <w:top w:w="100" w:type="dxa"/>
              <w:start w:w="120" w:type="dxa"/>
              <w:bottom w:w="100" w:type="dxa"/>
              <w:end w:w="120" w:type="dxa"/>
            </w:tcMar>
            <w:vAlign w:val="center"/>
            <w:shd w:fill="FFF7E6"/>
          </w:tcPr>
          <w:p>
            <w:pPr>
              <w:spacing w:after="0"/>
              <w:jc w:val="center"/>
              <w:bidi w:val="1"/>
            </w:pPr>
            <w:r>
              <w:rPr>
                <w:rFonts w:ascii="Arial" w:hAnsi="Arial" w:cs="Arial"/>
                <w:b/>
                <w:color w:val="17365D"/>
                <w:sz w:val="18"/>
              </w:rPr>
              <w:t>الاقتراح</w:t>
            </w:r>
          </w:p>
        </w:tc>
        <w:tc>
          <w:tcPr>
            <w:tcW w:type="dxa" w:w="1300"/>
            <w:tcMar>
              <w:top w:w="100" w:type="dxa"/>
              <w:start w:w="120" w:type="dxa"/>
              <w:bottom w:w="100" w:type="dxa"/>
              <w:end w:w="120" w:type="dxa"/>
            </w:tcMar>
            <w:vAlign w:val="center"/>
            <w:shd w:fill="FFF7E6"/>
          </w:tcPr>
          <w:p>
            <w:pPr>
              <w:spacing w:after="0"/>
              <w:jc w:val="center"/>
              <w:bidi w:val="1"/>
            </w:pPr>
            <w:r>
              <w:rPr>
                <w:rFonts w:ascii="Arial" w:hAnsi="Arial" w:cs="Arial"/>
                <w:b/>
                <w:color w:val="17365D"/>
                <w:sz w:val="18"/>
              </w:rPr>
              <w:t>الأثر</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C-01</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وسائل الدفع النهائية</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تأكيد Cash وVisa وInstaPay وWallet، مع رقم مرجعي إلزامي لغير Cash.</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متوسط</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C-02</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سياسة Refund</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تحديد كلي/جزئي، وإمكانية إلغاء حجز مدفوع دون استرداد.</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C-03</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الحجز المعلق</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عدم تحصيله حتى إعادة الجدولة هو الاقتراح الأقل مخاطرة.</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متوسط</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C-04</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الباقات المختلطة</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الإبقاء على الباقة لتخصص واحد في الإصدار الأول.</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C-05</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عدم الحضور</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الجلسة لا تُستهلك افتراضيًا، والأدمن يقرر الاستهلاك.</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متوسط</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C-06</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رسائل المرضى</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تأجيل SMS/WhatsApp لإضافة مستقلة بعد الإطلاق.</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C-07</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عمولات الأطباء</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التقرير للمعلومة فقط؛ إضافة العمولة خارج النطاق ما لم يعتمدها العميل.</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C-08</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Offline Cache</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اليوم الحالي وثلاثة أيام قادمة، ببيانات الحجز الأساسية فقط.</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منخفض</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C-09</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تكاليف التشغيل</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اعتماد اشتراك الاستضافة والدومين والنسخ الاحتياطي منفصلًا عن شراء البرنامج.</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C-10</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الدعم والضمان</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تحديد مدة ضمان الأخطاء ثم عرض عقد صيانة اختياري.</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C-11</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حجم التشغيل</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عدد السكرتيرات والأطباء والحجوزات اليومية والمتوقع خلال 3 سنوات.</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متوسط</w:t>
            </w:r>
          </w:p>
        </w:tc>
      </w:tr>
      <w:tr>
        <w:tc>
          <w:tcPr>
            <w:tcW w:type="dxa" w:w="8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C-12</w:t>
            </w:r>
          </w:p>
        </w:tc>
        <w:tc>
          <w:tcPr>
            <w:tcW w:type="dxa" w:w="20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الالتزامات الرسمية</w:t>
            </w:r>
          </w:p>
        </w:tc>
        <w:tc>
          <w:tcPr>
            <w:tcW w:type="dxa" w:w="51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تأكيد عدم الحاجة لفاتورة ضريبية أو إيصال مطبوع أو تكامل حكومي.</w:t>
            </w:r>
          </w:p>
        </w:tc>
        <w:tc>
          <w:tcPr>
            <w:tcW w:type="dxa" w:w="1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r>
    </w:tbl>
    <w:p>
      <w:pPr>
        <w:spacing w:after="40"/>
      </w:pPr>
    </w:p>
    <w:p>
      <w:pPr>
        <w:pStyle w:val="Heading1"/>
        <w:jc w:val="right"/>
        <w:keepNext/>
        <w:bidi w:val="1"/>
      </w:pPr>
      <w:r>
        <w:rPr>
          <w:rFonts w:ascii="Arial" w:hAnsi="Arial" w:cs="Arial"/>
          <w:b/>
          <w:color w:val="2E74B5"/>
        </w:rPr>
        <w:t>13. مصفوفة التعقيد للتقدير</w:t>
      </w:r>
    </w:p>
    <w:tbl>
      <w:tblPr>
        <w:tblStyle w:val="TableGrid"/>
        <w:tblW w:type="dxa" w:w="9360"/>
        <w:tblLayout w:type="fixed"/>
        <w:tblLook w:firstColumn="1" w:firstRow="1" w:lastColumn="0" w:lastRow="0" w:noHBand="0" w:noVBand="1" w:val="04A0"/>
        <w:jc w:val="center"/>
        <w:tblInd w:w="120" w:type="dxa"/>
      </w:tblPr>
      <w:tblGrid>
        <w:gridCol w:w="2800"/>
        <w:gridCol w:w="850"/>
        <w:gridCol w:w="2100"/>
        <w:gridCol w:w="3610"/>
      </w:tblGrid>
      <w:tr>
        <w:trPr>
          <w:tblHeader w:val="true"/>
        </w:trPr>
        <w:tc>
          <w:tcPr>
            <w:tcW w:type="dxa" w:w="2800"/>
            <w:tcMar>
              <w:top w:w="65" w:type="dxa"/>
              <w:start w:w="120" w:type="dxa"/>
              <w:bottom w:w="65" w:type="dxa"/>
              <w:end w:w="120" w:type="dxa"/>
            </w:tcMar>
            <w:vAlign w:val="center"/>
            <w:shd w:fill="EAF2F8"/>
          </w:tcPr>
          <w:p>
            <w:pPr>
              <w:spacing w:after="0"/>
              <w:jc w:val="center"/>
              <w:bidi w:val="1"/>
            </w:pPr>
            <w:r>
              <w:rPr>
                <w:rFonts w:ascii="Arial" w:hAnsi="Arial" w:cs="Arial"/>
                <w:b/>
                <w:color w:val="17365D"/>
                <w:sz w:val="18"/>
              </w:rPr>
              <w:t>الوحدة</w:t>
            </w:r>
          </w:p>
        </w:tc>
        <w:tc>
          <w:tcPr>
            <w:tcW w:type="dxa" w:w="850"/>
            <w:tcMar>
              <w:top w:w="65" w:type="dxa"/>
              <w:start w:w="120" w:type="dxa"/>
              <w:bottom w:w="65" w:type="dxa"/>
              <w:end w:w="120" w:type="dxa"/>
            </w:tcMar>
            <w:vAlign w:val="center"/>
            <w:shd w:fill="EAF2F8"/>
          </w:tcPr>
          <w:p>
            <w:pPr>
              <w:spacing w:after="0"/>
              <w:jc w:val="center"/>
              <w:bidi w:val="1"/>
            </w:pPr>
            <w:r>
              <w:rPr>
                <w:rFonts w:ascii="Arial" w:hAnsi="Arial" w:cs="Arial"/>
                <w:b/>
                <w:color w:val="17365D"/>
                <w:sz w:val="18"/>
              </w:rPr>
              <w:t>الحجم</w:t>
            </w:r>
          </w:p>
        </w:tc>
        <w:tc>
          <w:tcPr>
            <w:tcW w:type="dxa" w:w="2100"/>
            <w:tcMar>
              <w:top w:w="65" w:type="dxa"/>
              <w:start w:w="120" w:type="dxa"/>
              <w:bottom w:w="65" w:type="dxa"/>
              <w:end w:w="120" w:type="dxa"/>
            </w:tcMar>
            <w:vAlign w:val="center"/>
            <w:shd w:fill="EAF2F8"/>
          </w:tcPr>
          <w:p>
            <w:pPr>
              <w:spacing w:after="0"/>
              <w:jc w:val="center"/>
              <w:bidi w:val="1"/>
            </w:pPr>
            <w:r>
              <w:rPr>
                <w:rFonts w:ascii="Arial" w:hAnsi="Arial" w:cs="Arial"/>
                <w:b/>
                <w:color w:val="17365D"/>
                <w:sz w:val="18"/>
              </w:rPr>
              <w:t>الفريق الأساسي</w:t>
            </w:r>
          </w:p>
        </w:tc>
        <w:tc>
          <w:tcPr>
            <w:tcW w:type="dxa" w:w="3610"/>
            <w:tcMar>
              <w:top w:w="65" w:type="dxa"/>
              <w:start w:w="120" w:type="dxa"/>
              <w:bottom w:w="65" w:type="dxa"/>
              <w:end w:w="120" w:type="dxa"/>
            </w:tcMar>
            <w:vAlign w:val="center"/>
            <w:shd w:fill="EAF2F8"/>
          </w:tcPr>
          <w:p>
            <w:pPr>
              <w:spacing w:after="0"/>
              <w:jc w:val="center"/>
              <w:bidi w:val="1"/>
            </w:pPr>
            <w:r>
              <w:rPr>
                <w:rFonts w:ascii="Arial" w:hAnsi="Arial" w:cs="Arial"/>
                <w:b/>
                <w:color w:val="17365D"/>
                <w:sz w:val="18"/>
              </w:rPr>
              <w:t>سبب التعقيد</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الحسابات والصلاحيات و2FA</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M</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Backend + Frontend</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حساب Admin واحد، Sessions، Recovery Codes، Audit.</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إعداد الأقسام والخدمات والأجهزة</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Full Stack</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CRUD مترابط، إيقاف وأرشفة وPrice Snapshot.</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جداول الأطباء والكاليندر</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XL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Full Stack + QA</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استثناءات، تعارضات، نقل، سحب وإفلات وقائمة انتظار.</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ملف المريض والتاريخ</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Full Stack</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دمج، بحث متعدد، صلاحيات وملاحظات حساسة.</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الباقات وسلاسل الجلسات</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XL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Backend + QA</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أرصدة، صلاحية، تجميد، Refund واستهلاك الجلسات.</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التسعير والخصومات</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Backend + Frontend</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أسعار تاريخية، نبضات، نطاقات خصم وتعارضات.</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الكاشير والشيفتات</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XL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Backend + QA</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مطابقة، دفعات جماعية، طرق متعددة، دين وRefund وتصحيحات.</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Dashboard والتقارير</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Full Stack</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فلاتر مركبة ومحفوظة وتجميع حسب التحصيل والزيارة.</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Offline Read-only PWA</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M</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Frontend + QA</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Cache محدود، بيانات قديمة، حالات انقطاع واستعادة الاتصال.</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الأمان والنسخ الاحتياطي والنشر</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Backend + DevOps</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Audit، Backup/Restore، Monitoring وبيئات.</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UX عربي Responsive</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UI/UX + Frontend</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مساران مختلفان للسكرتيرة والأدمن واختبارات شاشات.</w:t>
            </w:r>
          </w:p>
        </w:tc>
      </w:tr>
      <w:tr>
        <w:tc>
          <w:tcPr>
            <w:tcW w:type="dxa" w:w="28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الاختبار وUAT</w:t>
            </w:r>
          </w:p>
        </w:tc>
        <w:tc>
          <w:tcPr>
            <w:tcW w:type="dxa" w:w="85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XL</w:t>
            </w:r>
          </w:p>
        </w:tc>
        <w:tc>
          <w:tcPr>
            <w:tcW w:type="dxa" w:w="2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QA + الفريق</w:t>
            </w:r>
          </w:p>
        </w:tc>
        <w:tc>
          <w:tcPr>
            <w:tcW w:type="dxa" w:w="3610"/>
            <w:tcMar>
              <w:top w:w="65" w:type="dxa"/>
              <w:start w:w="120" w:type="dxa"/>
              <w:bottom w:w="65" w:type="dxa"/>
              <w:end w:w="120" w:type="dxa"/>
            </w:tcMar>
            <w:vAlign w:val="center"/>
          </w:tcPr>
          <w:p>
            <w:pPr>
              <w:spacing w:after="0" w:line="252" w:lineRule="auto"/>
              <w:jc w:val="right"/>
              <w:bidi w:val="1"/>
            </w:pPr>
            <w:r>
              <w:rPr>
                <w:rFonts w:ascii="Arial" w:hAnsi="Arial" w:cs="Arial"/>
                <w:color w:val="1F2937"/>
                <w:sz w:val="16"/>
              </w:rPr>
              <w:t>حالات مالية وزمنية وتعارضات وPermissions وResponsive.</w:t>
            </w:r>
          </w:p>
        </w:tc>
      </w:tr>
    </w:tbl>
    <w:p>
      <w:pPr>
        <w:spacing w:after="40"/>
      </w:pPr>
    </w:p>
    <w:p>
      <w:pPr>
        <w:spacing w:after="120"/>
        <w:jc w:val="right"/>
        <w:bidi w:val="1"/>
      </w:pPr>
      <w:r>
        <w:rPr>
          <w:rFonts w:ascii="Arial" w:hAnsi="Arial" w:cs="Arial"/>
          <w:b/>
          <w:color w:val="64748B"/>
          <w:sz w:val="18"/>
        </w:rPr>
        <w:t>مفتاح الأحجام: M = متوسط، L = كبير، XL = كبير جدًا. الأحجام نسبية لتوزيع الجهد وليست مدة زمنية.</w:t>
      </w:r>
    </w:p>
    <w:p>
      <w:pPr>
        <w:pStyle w:val="Heading1"/>
        <w:jc w:val="right"/>
        <w:keepNext/>
        <w:bidi w:val="1"/>
      </w:pPr>
      <w:r>
        <w:rPr>
          <w:rFonts w:ascii="Arial" w:hAnsi="Arial" w:cs="Arial"/>
          <w:b/>
          <w:color w:val="2E74B5"/>
        </w:rPr>
        <w:t>14. ترتيب التنفيذ والمسار الحرج</w:t>
      </w:r>
    </w:p>
    <w:tbl>
      <w:tblPr>
        <w:tblStyle w:val="TableGrid"/>
        <w:tblW w:type="dxa" w:w="9360"/>
        <w:tblLayout w:type="fixed"/>
        <w:tblLook w:firstColumn="1" w:firstRow="1" w:lastColumn="0" w:lastRow="0" w:noHBand="0" w:noVBand="1" w:val="04A0"/>
        <w:jc w:val="center"/>
        <w:tblInd w:w="120" w:type="dxa"/>
      </w:tblPr>
      <w:tblGrid>
        <w:gridCol w:w="1100"/>
        <w:gridCol w:w="8260"/>
      </w:tblGrid>
      <w:tr>
        <w:trPr>
          <w:tblHeader w:val="true"/>
        </w:trPr>
        <w:tc>
          <w:tcPr>
            <w:tcW w:type="dxa" w:w="1100"/>
            <w:tcMar>
              <w:top w:w="65" w:type="dxa"/>
              <w:start w:w="120" w:type="dxa"/>
              <w:bottom w:w="65" w:type="dxa"/>
              <w:end w:w="120" w:type="dxa"/>
            </w:tcMar>
            <w:vAlign w:val="center"/>
            <w:shd w:fill="F2F4F7"/>
          </w:tcPr>
          <w:p>
            <w:pPr>
              <w:spacing w:after="0"/>
              <w:jc w:val="center"/>
              <w:bidi w:val="1"/>
            </w:pPr>
            <w:r>
              <w:rPr>
                <w:rFonts w:ascii="Arial" w:hAnsi="Arial" w:cs="Arial"/>
                <w:b/>
                <w:color w:val="17365D"/>
                <w:sz w:val="18"/>
              </w:rPr>
              <w:t>الترتيب</w:t>
            </w:r>
          </w:p>
        </w:tc>
        <w:tc>
          <w:tcPr>
            <w:tcW w:type="dxa" w:w="8260"/>
            <w:tcMar>
              <w:top w:w="65" w:type="dxa"/>
              <w:start w:w="120" w:type="dxa"/>
              <w:bottom w:w="65" w:type="dxa"/>
              <w:end w:w="120" w:type="dxa"/>
            </w:tcMar>
            <w:vAlign w:val="center"/>
            <w:shd w:fill="F2F4F7"/>
          </w:tcPr>
          <w:p>
            <w:pPr>
              <w:spacing w:after="0"/>
              <w:jc w:val="center"/>
              <w:bidi w:val="1"/>
            </w:pPr>
            <w:r>
              <w:rPr>
                <w:rFonts w:ascii="Arial" w:hAnsi="Arial" w:cs="Arial"/>
                <w:b/>
                <w:color w:val="17365D"/>
                <w:sz w:val="18"/>
              </w:rPr>
              <w:t>مرحلة التنفيذ</w:t>
            </w:r>
          </w:p>
        </w:tc>
      </w:tr>
      <w:tr>
        <w:tc>
          <w:tcPr>
            <w:tcW w:type="dxa" w:w="1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1</w:t>
            </w:r>
          </w:p>
        </w:tc>
        <w:tc>
          <w:tcPr>
            <w:tcW w:type="dxa" w:w="82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تثبيت القرارات المفتوحة واختيار الـStack وتصميم Data Model والعقود الأساسية.</w:t>
            </w:r>
          </w:p>
        </w:tc>
      </w:tr>
      <w:tr>
        <w:tc>
          <w:tcPr>
            <w:tcW w:type="dxa" w:w="1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2</w:t>
            </w:r>
          </w:p>
        </w:tc>
        <w:tc>
          <w:tcPr>
            <w:tcW w:type="dxa" w:w="82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UX Flows وDesign System عربي، بالتوازي مع Foundation وAuthentication وAudit.</w:t>
            </w:r>
          </w:p>
        </w:tc>
      </w:tr>
      <w:tr>
        <w:tc>
          <w:tcPr>
            <w:tcW w:type="dxa" w:w="1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3</w:t>
            </w:r>
          </w:p>
        </w:tc>
        <w:tc>
          <w:tcPr>
            <w:tcW w:type="dxa" w:w="82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إدارة الأقسام والخدمات والأجهزة والأطباء والجداول.</w:t>
            </w:r>
          </w:p>
        </w:tc>
      </w:tr>
      <w:tr>
        <w:tc>
          <w:tcPr>
            <w:tcW w:type="dxa" w:w="1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4</w:t>
            </w:r>
          </w:p>
        </w:tc>
        <w:tc>
          <w:tcPr>
            <w:tcW w:type="dxa" w:w="82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ملفات المرضى والحجز والكاليندر والتعارضات وقائمة الانتظار.</w:t>
            </w:r>
          </w:p>
        </w:tc>
      </w:tr>
      <w:tr>
        <w:tc>
          <w:tcPr>
            <w:tcW w:type="dxa" w:w="1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5</w:t>
            </w:r>
          </w:p>
        </w:tc>
        <w:tc>
          <w:tcPr>
            <w:tcW w:type="dxa" w:w="82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الباقات والتسعير والخصومات والتحصيل والشيفتات.</w:t>
            </w:r>
          </w:p>
        </w:tc>
      </w:tr>
      <w:tr>
        <w:tc>
          <w:tcPr>
            <w:tcW w:type="dxa" w:w="1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6</w:t>
            </w:r>
          </w:p>
        </w:tc>
        <w:tc>
          <w:tcPr>
            <w:tcW w:type="dxa" w:w="82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Dashboard والتقارير وOffline Read-only والنسخ الاحتياطي والنشر.</w:t>
            </w:r>
          </w:p>
        </w:tc>
      </w:tr>
      <w:tr>
        <w:tc>
          <w:tcPr>
            <w:tcW w:type="dxa" w:w="11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7</w:t>
            </w:r>
          </w:p>
        </w:tc>
        <w:tc>
          <w:tcPr>
            <w:tcW w:type="dxa" w:w="82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اختبارات End-to-End وSecurity وResponsive ثم UAT والتدريب والإطلاق.</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after="0"/>
              <w:jc w:val="right"/>
              <w:bidi w:val="1"/>
            </w:pPr>
            <w:r>
              <w:rPr>
                <w:rFonts w:ascii="Arial" w:hAnsi="Arial" w:cs="Arial"/>
                <w:b/>
                <w:color w:val="9B1C1C"/>
                <w:sz w:val="21"/>
              </w:rPr>
              <w:t xml:space="preserve">المسار الحرج: </w:t>
            </w:r>
            <w:r>
              <w:rPr>
                <w:rFonts w:ascii="Arial" w:hAnsi="Arial" w:cs="Arial"/>
                <w:color w:val="1F2937"/>
                <w:sz w:val="21"/>
              </w:rPr>
              <w:t>Data Model ← إعداد الخدمات والجداول ← محرك الحجز والتعارض ← التحصيل والشيفتات ← التقارير ← UAT. تأخر القرارات المالية أو الباقات يؤخر المراحل التالية مباشرة.</w:t>
            </w:r>
          </w:p>
        </w:tc>
      </w:tr>
    </w:tbl>
    <w:p>
      <w:pPr>
        <w:spacing w:after="40"/>
      </w:pPr>
    </w:p>
    <w:p>
      <w:pPr>
        <w:pStyle w:val="Heading1"/>
        <w:jc w:val="right"/>
        <w:keepNext/>
        <w:bidi w:val="1"/>
      </w:pPr>
      <w:r>
        <w:rPr>
          <w:rFonts w:ascii="Arial" w:hAnsi="Arial" w:cs="Arial"/>
          <w:b/>
          <w:color w:val="2E74B5"/>
        </w:rPr>
        <w:t>15. مدخلات مطلوبة من Team Leader لإصدار التقدير</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tblHeader w:val="true"/>
        </w:trPr>
        <w:tc>
          <w:tcPr>
            <w:tcW w:type="dxa" w:w="2300"/>
            <w:tcMar>
              <w:top w:w="65" w:type="dxa"/>
              <w:start w:w="120" w:type="dxa"/>
              <w:bottom w:w="65" w:type="dxa"/>
              <w:end w:w="120" w:type="dxa"/>
            </w:tcMar>
            <w:vAlign w:val="center"/>
            <w:shd w:fill="F2F4F7"/>
          </w:tcPr>
          <w:p>
            <w:pPr>
              <w:spacing w:after="0"/>
              <w:jc w:val="center"/>
              <w:bidi w:val="1"/>
            </w:pPr>
            <w:r>
              <w:rPr>
                <w:rFonts w:ascii="Arial" w:hAnsi="Arial" w:cs="Arial"/>
                <w:b/>
                <w:color w:val="17365D"/>
                <w:sz w:val="18"/>
              </w:rPr>
              <w:t>المدخل</w:t>
            </w:r>
          </w:p>
        </w:tc>
        <w:tc>
          <w:tcPr>
            <w:tcW w:type="dxa" w:w="7060"/>
            <w:tcMar>
              <w:top w:w="65" w:type="dxa"/>
              <w:start w:w="120" w:type="dxa"/>
              <w:bottom w:w="65" w:type="dxa"/>
              <w:end w:w="120" w:type="dxa"/>
            </w:tcMar>
            <w:vAlign w:val="center"/>
            <w:shd w:fill="F2F4F7"/>
          </w:tcPr>
          <w:p>
            <w:pPr>
              <w:spacing w:after="0"/>
              <w:jc w:val="center"/>
              <w:bidi w:val="1"/>
            </w:pPr>
            <w:r>
              <w:rPr>
                <w:rFonts w:ascii="Arial" w:hAnsi="Arial" w:cs="Arial"/>
                <w:b/>
                <w:color w:val="17365D"/>
                <w:sz w:val="18"/>
              </w:rPr>
              <w:t>المطلوب تحديده</w:t>
            </w:r>
          </w:p>
        </w:tc>
      </w:tr>
      <w:tr>
        <w:tc>
          <w:tcPr>
            <w:tcW w:type="dxa" w:w="23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Tech Stack</w:t>
            </w:r>
          </w:p>
        </w:tc>
        <w:tc>
          <w:tcPr>
            <w:tcW w:type="dxa" w:w="70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Backend، Frontend، Database، Hosting، Authentication libraries.</w:t>
            </w:r>
          </w:p>
        </w:tc>
      </w:tr>
      <w:tr>
        <w:tc>
          <w:tcPr>
            <w:tcW w:type="dxa" w:w="23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تكوين الفريق</w:t>
            </w:r>
          </w:p>
        </w:tc>
        <w:tc>
          <w:tcPr>
            <w:tcW w:type="dxa" w:w="70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عدد المطورين وتفرغ UI/UX وQA وDevOps ومن يملك قرار الـArchitecture.</w:t>
            </w:r>
          </w:p>
        </w:tc>
      </w:tr>
      <w:tr>
        <w:tc>
          <w:tcPr>
            <w:tcW w:type="dxa" w:w="23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منهج التقدير</w:t>
            </w:r>
          </w:p>
        </w:tc>
        <w:tc>
          <w:tcPr>
            <w:tcW w:type="dxa" w:w="70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Person-days لكل وحدة، نسبة Integration/QA، وContingency واضح للقرارات المفتوحة.</w:t>
            </w:r>
          </w:p>
        </w:tc>
      </w:tr>
      <w:tr>
        <w:tc>
          <w:tcPr>
            <w:tcW w:type="dxa" w:w="23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خطة الإصدارات</w:t>
            </w:r>
          </w:p>
        </w:tc>
        <w:tc>
          <w:tcPr>
            <w:tcW w:type="dxa" w:w="70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إطلاق واحد كامل أم Milestones داخلية مع Feature Flags.</w:t>
            </w:r>
          </w:p>
        </w:tc>
      </w:tr>
      <w:tr>
        <w:tc>
          <w:tcPr>
            <w:tcW w:type="dxa" w:w="23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Definition of Done</w:t>
            </w:r>
          </w:p>
        </w:tc>
        <w:tc>
          <w:tcPr>
            <w:tcW w:type="dxa" w:w="70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Code Review، Unit/Integration/E2E tests، Security checks، Documentation وDeployment.</w:t>
            </w:r>
          </w:p>
        </w:tc>
      </w:tr>
      <w:tr>
        <w:tc>
          <w:tcPr>
            <w:tcW w:type="dxa" w:w="23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UAT</w:t>
            </w:r>
          </w:p>
        </w:tc>
        <w:tc>
          <w:tcPr>
            <w:tcW w:type="dxa" w:w="70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عدد جولات العميل، مدة كل جولة، ومسؤولية إصلاح الملاحظات مقابل Change Requests.</w:t>
            </w:r>
          </w:p>
        </w:tc>
      </w:tr>
      <w:tr>
        <w:tc>
          <w:tcPr>
            <w:tcW w:type="dxa" w:w="23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التشغيل</w:t>
            </w:r>
          </w:p>
        </w:tc>
        <w:tc>
          <w:tcPr>
            <w:tcW w:type="dxa" w:w="70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مزود الاستضافة، تكلفة شهرية، Monitoring، Backup retention، ومسؤول إدارة الحسابات.</w:t>
            </w:r>
          </w:p>
        </w:tc>
      </w:tr>
      <w:tr>
        <w:tc>
          <w:tcPr>
            <w:tcW w:type="dxa" w:w="23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الضمان</w:t>
            </w:r>
          </w:p>
        </w:tc>
        <w:tc>
          <w:tcPr>
            <w:tcW w:type="dxa" w:w="70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8"/>
              </w:rPr>
              <w:t>مدة ضمان الأخطاء، أوقات الدعم، وتسعير الصيانة بعد الضمان.</w:t>
            </w:r>
          </w:p>
        </w:tc>
      </w:tr>
    </w:tbl>
    <w:p>
      <w:pPr>
        <w:spacing w:after="40"/>
      </w:pPr>
    </w:p>
    <w:p>
      <w:pPr>
        <w:pStyle w:val="Heading1"/>
        <w:jc w:val="right"/>
        <w:keepNext/>
        <w:bidi w:val="1"/>
      </w:pPr>
      <w:r>
        <w:rPr>
          <w:rFonts w:ascii="Arial" w:hAnsi="Arial" w:cs="Arial"/>
          <w:b/>
          <w:color w:val="2E74B5"/>
        </w:rPr>
        <w:t>16. قالب ملخص التقدير</w:t>
      </w:r>
    </w:p>
    <w:tbl>
      <w:tblPr>
        <w:tblStyle w:val="TableGrid"/>
        <w:tblW w:type="dxa" w:w="9360"/>
        <w:tblLayout w:type="fixed"/>
        <w:tblLook w:firstColumn="1" w:firstRow="1" w:lastColumn="0" w:lastRow="0" w:noHBand="0" w:noVBand="1" w:val="04A0"/>
        <w:jc w:val="center"/>
        <w:tblInd w:w="120" w:type="dxa"/>
      </w:tblPr>
      <w:tblGrid>
        <w:gridCol w:w="2400"/>
        <w:gridCol w:w="1700"/>
        <w:gridCol w:w="1500"/>
        <w:gridCol w:w="3760"/>
      </w:tblGrid>
      <w:tr>
        <w:trPr>
          <w:tblHeader w:val="true"/>
        </w:trPr>
        <w:tc>
          <w:tcPr>
            <w:tcW w:type="dxa" w:w="2400"/>
            <w:tcMar>
              <w:top w:w="65" w:type="dxa"/>
              <w:start w:w="120" w:type="dxa"/>
              <w:bottom w:w="65" w:type="dxa"/>
              <w:end w:w="120" w:type="dxa"/>
            </w:tcMar>
            <w:vAlign w:val="center"/>
            <w:shd w:fill="E8F5F7"/>
          </w:tcPr>
          <w:p>
            <w:pPr>
              <w:spacing w:after="0"/>
              <w:jc w:val="center"/>
              <w:bidi w:val="1"/>
            </w:pPr>
            <w:r>
              <w:rPr>
                <w:rFonts w:ascii="Arial" w:hAnsi="Arial" w:cs="Arial"/>
                <w:b/>
                <w:color w:val="17365D"/>
                <w:sz w:val="18"/>
              </w:rPr>
              <w:t>المسار</w:t>
            </w:r>
          </w:p>
        </w:tc>
        <w:tc>
          <w:tcPr>
            <w:tcW w:type="dxa" w:w="1700"/>
            <w:tcMar>
              <w:top w:w="65" w:type="dxa"/>
              <w:start w:w="120" w:type="dxa"/>
              <w:bottom w:w="65" w:type="dxa"/>
              <w:end w:w="120" w:type="dxa"/>
            </w:tcMar>
            <w:vAlign w:val="center"/>
            <w:shd w:fill="E8F5F7"/>
          </w:tcPr>
          <w:p>
            <w:pPr>
              <w:spacing w:after="0"/>
              <w:jc w:val="center"/>
              <w:bidi w:val="1"/>
            </w:pPr>
            <w:r>
              <w:rPr>
                <w:rFonts w:ascii="Arial" w:hAnsi="Arial" w:cs="Arial"/>
                <w:b/>
                <w:color w:val="17365D"/>
                <w:sz w:val="18"/>
              </w:rPr>
              <w:t>المدة</w:t>
            </w:r>
          </w:p>
        </w:tc>
        <w:tc>
          <w:tcPr>
            <w:tcW w:type="dxa" w:w="1500"/>
            <w:tcMar>
              <w:top w:w="65" w:type="dxa"/>
              <w:start w:w="120" w:type="dxa"/>
              <w:bottom w:w="65" w:type="dxa"/>
              <w:end w:w="120" w:type="dxa"/>
            </w:tcMar>
            <w:vAlign w:val="center"/>
            <w:shd w:fill="E8F5F7"/>
          </w:tcPr>
          <w:p>
            <w:pPr>
              <w:spacing w:after="0"/>
              <w:jc w:val="center"/>
              <w:bidi w:val="1"/>
            </w:pPr>
            <w:r>
              <w:rPr>
                <w:rFonts w:ascii="Arial" w:hAnsi="Arial" w:cs="Arial"/>
                <w:b/>
                <w:color w:val="17365D"/>
                <w:sz w:val="18"/>
              </w:rPr>
              <w:t>التكلفة</w:t>
            </w:r>
          </w:p>
        </w:tc>
        <w:tc>
          <w:tcPr>
            <w:tcW w:type="dxa" w:w="3760"/>
            <w:tcMar>
              <w:top w:w="65" w:type="dxa"/>
              <w:start w:w="120" w:type="dxa"/>
              <w:bottom w:w="65" w:type="dxa"/>
              <w:end w:w="120" w:type="dxa"/>
            </w:tcMar>
            <w:vAlign w:val="center"/>
            <w:shd w:fill="E8F5F7"/>
          </w:tcPr>
          <w:p>
            <w:pPr>
              <w:spacing w:after="0"/>
              <w:jc w:val="center"/>
              <w:bidi w:val="1"/>
            </w:pPr>
            <w:r>
              <w:rPr>
                <w:rFonts w:ascii="Arial" w:hAnsi="Arial" w:cs="Arial"/>
                <w:b/>
                <w:color w:val="17365D"/>
                <w:sz w:val="18"/>
              </w:rPr>
              <w:t>ملاحظات</w:t>
            </w:r>
          </w:p>
        </w:tc>
      </w:tr>
      <w:tr>
        <w:tc>
          <w:tcPr>
            <w:tcW w:type="dxa" w:w="24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Discovery وإغلاق النطاق</w:t>
            </w:r>
          </w:p>
        </w:tc>
        <w:tc>
          <w:tcPr>
            <w:tcW w:type="dxa" w:w="17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 يوم عمل</w:t>
            </w:r>
          </w:p>
        </w:tc>
        <w:tc>
          <w:tcPr>
            <w:tcW w:type="dxa" w:w="15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w:t>
            </w:r>
          </w:p>
        </w:tc>
        <w:tc>
          <w:tcPr>
            <w:tcW w:type="dxa" w:w="37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يشمل اعتماد القرارات المفتوحة</w:t>
            </w:r>
          </w:p>
        </w:tc>
      </w:tr>
      <w:tr>
        <w:tc>
          <w:tcPr>
            <w:tcW w:type="dxa" w:w="24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UI/UX</w:t>
            </w:r>
          </w:p>
        </w:tc>
        <w:tc>
          <w:tcPr>
            <w:tcW w:type="dxa" w:w="17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 يوم عمل</w:t>
            </w:r>
          </w:p>
        </w:tc>
        <w:tc>
          <w:tcPr>
            <w:tcW w:type="dxa" w:w="15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w:t>
            </w:r>
          </w:p>
        </w:tc>
        <w:tc>
          <w:tcPr>
            <w:tcW w:type="dxa" w:w="37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User flows + Responsive design + Prototype</w:t>
            </w:r>
          </w:p>
        </w:tc>
      </w:tr>
      <w:tr>
        <w:tc>
          <w:tcPr>
            <w:tcW w:type="dxa" w:w="24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Backend</w:t>
            </w:r>
          </w:p>
        </w:tc>
        <w:tc>
          <w:tcPr>
            <w:tcW w:type="dxa" w:w="17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 يوم عمل</w:t>
            </w:r>
          </w:p>
        </w:tc>
        <w:tc>
          <w:tcPr>
            <w:tcW w:type="dxa" w:w="15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w:t>
            </w:r>
          </w:p>
        </w:tc>
        <w:tc>
          <w:tcPr>
            <w:tcW w:type="dxa" w:w="37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APIs + DB + Business rules + Reports</w:t>
            </w:r>
          </w:p>
        </w:tc>
      </w:tr>
      <w:tr>
        <w:tc>
          <w:tcPr>
            <w:tcW w:type="dxa" w:w="24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Frontend</w:t>
            </w:r>
          </w:p>
        </w:tc>
        <w:tc>
          <w:tcPr>
            <w:tcW w:type="dxa" w:w="17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 يوم عمل</w:t>
            </w:r>
          </w:p>
        </w:tc>
        <w:tc>
          <w:tcPr>
            <w:tcW w:type="dxa" w:w="15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w:t>
            </w:r>
          </w:p>
        </w:tc>
        <w:tc>
          <w:tcPr>
            <w:tcW w:type="dxa" w:w="37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Secretary/Admin dashboards + PWA</w:t>
            </w:r>
          </w:p>
        </w:tc>
      </w:tr>
      <w:tr>
        <w:tc>
          <w:tcPr>
            <w:tcW w:type="dxa" w:w="24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QA وUAT</w:t>
            </w:r>
          </w:p>
        </w:tc>
        <w:tc>
          <w:tcPr>
            <w:tcW w:type="dxa" w:w="17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 يوم عمل</w:t>
            </w:r>
          </w:p>
        </w:tc>
        <w:tc>
          <w:tcPr>
            <w:tcW w:type="dxa" w:w="15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w:t>
            </w:r>
          </w:p>
        </w:tc>
        <w:tc>
          <w:tcPr>
            <w:tcW w:type="dxa" w:w="37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Functional + financial + responsive + regression</w:t>
            </w:r>
          </w:p>
        </w:tc>
      </w:tr>
      <w:tr>
        <w:tc>
          <w:tcPr>
            <w:tcW w:type="dxa" w:w="24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DevOps والإطلاق</w:t>
            </w:r>
          </w:p>
        </w:tc>
        <w:tc>
          <w:tcPr>
            <w:tcW w:type="dxa" w:w="17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 يوم عمل</w:t>
            </w:r>
          </w:p>
        </w:tc>
        <w:tc>
          <w:tcPr>
            <w:tcW w:type="dxa" w:w="15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w:t>
            </w:r>
          </w:p>
        </w:tc>
        <w:tc>
          <w:tcPr>
            <w:tcW w:type="dxa" w:w="37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Cloud + backups + monitoring + handover</w:t>
            </w:r>
          </w:p>
        </w:tc>
      </w:tr>
      <w:tr>
        <w:tc>
          <w:tcPr>
            <w:tcW w:type="dxa" w:w="24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إجمالي التطوير</w:t>
            </w:r>
          </w:p>
        </w:tc>
        <w:tc>
          <w:tcPr>
            <w:tcW w:type="dxa" w:w="17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 أسبوع/شهر</w:t>
            </w:r>
          </w:p>
        </w:tc>
        <w:tc>
          <w:tcPr>
            <w:tcW w:type="dxa" w:w="15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w:t>
            </w:r>
          </w:p>
        </w:tc>
        <w:tc>
          <w:tcPr>
            <w:tcW w:type="dxa" w:w="37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قبل تكاليف التشغيل المتكررة</w:t>
            </w:r>
          </w:p>
        </w:tc>
      </w:tr>
      <w:tr>
        <w:tc>
          <w:tcPr>
            <w:tcW w:type="dxa" w:w="24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الاستضافة والتشغيل</w:t>
            </w:r>
          </w:p>
        </w:tc>
        <w:tc>
          <w:tcPr>
            <w:tcW w:type="dxa" w:w="17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شهري/سنوي</w:t>
            </w:r>
          </w:p>
        </w:tc>
        <w:tc>
          <w:tcPr>
            <w:tcW w:type="dxa" w:w="150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____</w:t>
            </w:r>
          </w:p>
        </w:tc>
        <w:tc>
          <w:tcPr>
            <w:tcW w:type="dxa" w:w="3760"/>
            <w:tcMar>
              <w:top w:w="65" w:type="dxa"/>
              <w:start w:w="120" w:type="dxa"/>
              <w:bottom w:w="65" w:type="dxa"/>
              <w:end w:w="120" w:type="dxa"/>
            </w:tcMar>
            <w:vAlign w:val="center"/>
          </w:tcPr>
          <w:p>
            <w:pPr>
              <w:spacing w:after="0" w:line="252" w:lineRule="auto"/>
              <w:jc w:val="right"/>
              <w:bidi w:val="1"/>
            </w:pPr>
            <w:r>
              <w:rPr>
                <w:rFonts w:ascii="Arial" w:hAnsi="Arial" w:cs="Arial"/>
                <w:color w:val="1F2937"/>
                <w:sz w:val="17"/>
              </w:rPr>
              <w:t>تعرض منفصلة على العميل</w:t>
            </w:r>
          </w:p>
        </w:tc>
      </w:tr>
    </w:tbl>
    <w:p>
      <w:pPr>
        <w:spacing w:after="40"/>
      </w:pPr>
    </w:p>
    <w:p>
      <w:pPr>
        <w:pStyle w:val="Heading1"/>
        <w:jc w:val="right"/>
        <w:keepNext/>
        <w:bidi w:val="1"/>
      </w:pPr>
      <w:r>
        <w:rPr>
          <w:rFonts w:ascii="Arial" w:hAnsi="Arial" w:cs="Arial"/>
          <w:b/>
          <w:color w:val="2E74B5"/>
        </w:rPr>
        <w:t>17. مخاطر يجب إدخالها في التقدير</w:t>
      </w:r>
    </w:p>
    <w:tbl>
      <w:tblPr>
        <w:tblStyle w:val="TableGrid"/>
        <w:tblW w:type="dxa" w:w="9360"/>
        <w:tblLayout w:type="fixed"/>
        <w:tblLook w:firstColumn="1" w:firstRow="1" w:lastColumn="0" w:lastRow="0" w:noHBand="0" w:noVBand="1" w:val="04A0"/>
        <w:jc w:val="center"/>
        <w:tblInd w:w="120" w:type="dxa"/>
      </w:tblPr>
      <w:tblGrid>
        <w:gridCol w:w="3350"/>
        <w:gridCol w:w="1200"/>
        <w:gridCol w:w="4810"/>
      </w:tblGrid>
      <w:tr>
        <w:trPr>
          <w:tblHeader w:val="true"/>
        </w:trPr>
        <w:tc>
          <w:tcPr>
            <w:tcW w:type="dxa" w:w="3350"/>
            <w:tcMar>
              <w:top w:w="100" w:type="dxa"/>
              <w:start w:w="120" w:type="dxa"/>
              <w:bottom w:w="100" w:type="dxa"/>
              <w:end w:w="120" w:type="dxa"/>
            </w:tcMar>
            <w:vAlign w:val="center"/>
            <w:shd w:fill="FDECEC"/>
          </w:tcPr>
          <w:p>
            <w:pPr>
              <w:spacing w:after="0"/>
              <w:jc w:val="center"/>
              <w:bidi w:val="1"/>
            </w:pPr>
            <w:r>
              <w:rPr>
                <w:rFonts w:ascii="Arial" w:hAnsi="Arial" w:cs="Arial"/>
                <w:b/>
                <w:color w:val="17365D"/>
                <w:sz w:val="18"/>
              </w:rPr>
              <w:t>الخطر</w:t>
            </w:r>
          </w:p>
        </w:tc>
        <w:tc>
          <w:tcPr>
            <w:tcW w:type="dxa" w:w="1200"/>
            <w:tcMar>
              <w:top w:w="100" w:type="dxa"/>
              <w:start w:w="120" w:type="dxa"/>
              <w:bottom w:w="100" w:type="dxa"/>
              <w:end w:w="120" w:type="dxa"/>
            </w:tcMar>
            <w:vAlign w:val="center"/>
            <w:shd w:fill="FDECEC"/>
          </w:tcPr>
          <w:p>
            <w:pPr>
              <w:spacing w:after="0"/>
              <w:jc w:val="center"/>
              <w:bidi w:val="1"/>
            </w:pPr>
            <w:r>
              <w:rPr>
                <w:rFonts w:ascii="Arial" w:hAnsi="Arial" w:cs="Arial"/>
                <w:b/>
                <w:color w:val="17365D"/>
                <w:sz w:val="18"/>
              </w:rPr>
              <w:t>المستوى</w:t>
            </w:r>
          </w:p>
        </w:tc>
        <w:tc>
          <w:tcPr>
            <w:tcW w:type="dxa" w:w="4810"/>
            <w:tcMar>
              <w:top w:w="100" w:type="dxa"/>
              <w:start w:w="120" w:type="dxa"/>
              <w:bottom w:w="100" w:type="dxa"/>
              <w:end w:w="120" w:type="dxa"/>
            </w:tcMar>
            <w:vAlign w:val="center"/>
            <w:shd w:fill="FDECEC"/>
          </w:tcPr>
          <w:p>
            <w:pPr>
              <w:spacing w:after="0"/>
              <w:jc w:val="center"/>
              <w:bidi w:val="1"/>
            </w:pPr>
            <w:r>
              <w:rPr>
                <w:rFonts w:ascii="Arial" w:hAnsi="Arial" w:cs="Arial"/>
                <w:b/>
                <w:color w:val="17365D"/>
                <w:sz w:val="18"/>
              </w:rPr>
              <w:t>المعالجة المقترحة</w:t>
            </w:r>
          </w:p>
        </w:tc>
      </w:tr>
      <w:tr>
        <w:tc>
          <w:tcPr>
            <w:tcW w:type="dxa" w:w="33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تغيّر قواعد Refund والباقات بعد التطوير</w:t>
            </w:r>
          </w:p>
        </w:tc>
        <w:tc>
          <w:tcPr>
            <w:tcW w:type="dxa" w:w="1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c>
          <w:tcPr>
            <w:tcW w:type="dxa" w:w="481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حسم C-02 وC-04 قبل بناء المحرك المالي.</w:t>
            </w:r>
          </w:p>
        </w:tc>
      </w:tr>
      <w:tr>
        <w:tc>
          <w:tcPr>
            <w:tcW w:type="dxa" w:w="33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اعتبار النظام كاشيرًا دون ضبط محاسبي</w:t>
            </w:r>
          </w:p>
        </w:tc>
        <w:tc>
          <w:tcPr>
            <w:tcW w:type="dxa" w:w="1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c>
          <w:tcPr>
            <w:tcW w:type="dxa" w:w="481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عدم تعديل الحركات؛ Refund/Correction مستقلان مع Audit.</w:t>
            </w:r>
          </w:p>
        </w:tc>
      </w:tr>
      <w:tr>
        <w:tc>
          <w:tcPr>
            <w:tcW w:type="dxa" w:w="33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التوسع غير المعلن إلى بوابة مريض أو تطبيق</w:t>
            </w:r>
          </w:p>
        </w:tc>
        <w:tc>
          <w:tcPr>
            <w:tcW w:type="dxa" w:w="1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c>
          <w:tcPr>
            <w:tcW w:type="dxa" w:w="481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تثبيتها خارج النطاق وتسعيرها كمرحلة مستقلة.</w:t>
            </w:r>
          </w:p>
        </w:tc>
      </w:tr>
      <w:tr>
        <w:tc>
          <w:tcPr>
            <w:tcW w:type="dxa" w:w="33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تعقيد Calendar وDrag/Drop على الموبايل</w:t>
            </w:r>
          </w:p>
        </w:tc>
        <w:tc>
          <w:tcPr>
            <w:tcW w:type="dxa" w:w="1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متوسط</w:t>
            </w:r>
          </w:p>
        </w:tc>
        <w:tc>
          <w:tcPr>
            <w:tcW w:type="dxa" w:w="481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Prototype مبكر واختبار الشاشات الصغيرة.</w:t>
            </w:r>
          </w:p>
        </w:tc>
      </w:tr>
      <w:tr>
        <w:tc>
          <w:tcPr>
            <w:tcW w:type="dxa" w:w="33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تخزين بيانات حساسة Offline</w:t>
            </w:r>
          </w:p>
        </w:tc>
        <w:tc>
          <w:tcPr>
            <w:tcW w:type="dxa" w:w="1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متوسط</w:t>
            </w:r>
          </w:p>
        </w:tc>
        <w:tc>
          <w:tcPr>
            <w:tcW w:type="dxa" w:w="481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تقليل الـCache وحذفه عند انتهاء الجلسة وعدم حفظ التاريخ الطبي.</w:t>
            </w:r>
          </w:p>
        </w:tc>
      </w:tr>
      <w:tr>
        <w:tc>
          <w:tcPr>
            <w:tcW w:type="dxa" w:w="33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اعتماد الاستضافة الأرخص بلا Monitoring</w:t>
            </w:r>
          </w:p>
        </w:tc>
        <w:tc>
          <w:tcPr>
            <w:tcW w:type="dxa" w:w="1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متوسط</w:t>
            </w:r>
          </w:p>
        </w:tc>
        <w:tc>
          <w:tcPr>
            <w:tcW w:type="dxa" w:w="481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فصل تكلفة التشغيل وإلزام Backup/Restore وHTTPS.</w:t>
            </w:r>
          </w:p>
        </w:tc>
      </w:tr>
      <w:tr>
        <w:tc>
          <w:tcPr>
            <w:tcW w:type="dxa" w:w="335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غياب QA متخصص</w:t>
            </w:r>
          </w:p>
        </w:tc>
        <w:tc>
          <w:tcPr>
            <w:tcW w:type="dxa" w:w="12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مرتفع</w:t>
            </w:r>
          </w:p>
        </w:tc>
        <w:tc>
          <w:tcPr>
            <w:tcW w:type="dxa" w:w="481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7"/>
              </w:rPr>
              <w:t>تخصيص جهد صريح لحالات المال والشيفتات والتعارضات والـPermissions.</w:t>
            </w:r>
          </w:p>
        </w:tc>
      </w:tr>
    </w:tbl>
    <w:p>
      <w:pPr>
        <w:spacing w:after="40"/>
      </w:pPr>
    </w:p>
    <w:p>
      <w:pPr>
        <w:pStyle w:val="Heading1"/>
        <w:jc w:val="right"/>
        <w:keepNext/>
        <w:bidi w:val="1"/>
      </w:pPr>
      <w:r>
        <w:rPr>
          <w:rFonts w:ascii="Arial" w:hAnsi="Arial" w:cs="Arial"/>
          <w:b/>
          <w:color w:val="2E74B5"/>
        </w:rPr>
        <w:t>18. توصية قبل التسعير</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F5F7"/>
          </w:tcPr>
          <w:p>
            <w:pPr>
              <w:spacing w:after="0"/>
              <w:jc w:val="right"/>
              <w:bidi w:val="1"/>
            </w:pPr>
            <w:r>
              <w:rPr>
                <w:rFonts w:ascii="Arial" w:hAnsi="Arial" w:cs="Arial"/>
                <w:b/>
                <w:color w:val="0E7490"/>
                <w:sz w:val="21"/>
              </w:rPr>
              <w:t xml:space="preserve">قرار داخلي مقترح: </w:t>
            </w:r>
            <w:r>
              <w:rPr>
                <w:rFonts w:ascii="Arial" w:hAnsi="Arial" w:cs="Arial"/>
                <w:color w:val="1F2937"/>
                <w:sz w:val="21"/>
              </w:rPr>
              <w:t>يُعقد Estimation Workshop قصير بحضور Backend وFrontend وUI/UX وQA. يقدّر كل مسار وحداته، ثم تُجمع الاعتماديات ووقت التكامل وUAT والنشر بصورة مستقلة. لا يُرسل للعميل سعر نهائي قبل إغلاق القرارات C-01 إلى C-12 أو تحويل غير المحسوم منها إلى Optional Add-ons.</w:t>
            </w:r>
          </w:p>
        </w:tc>
      </w:tr>
    </w:tbl>
    <w:p>
      <w:pPr>
        <w:spacing w:after="40"/>
      </w:pPr>
    </w:p>
    <w:p>
      <w:pPr>
        <w:pStyle w:val="Heading1"/>
        <w:jc w:val="right"/>
        <w:keepNext/>
        <w:bidi w:val="1"/>
      </w:pPr>
      <w:r>
        <w:rPr>
          <w:rFonts w:ascii="Arial" w:hAnsi="Arial" w:cs="Arial"/>
          <w:b/>
          <w:color w:val="2E74B5"/>
        </w:rPr>
        <w:t>19. مخرجات جلسة التقدير الداخلية</w:t>
      </w:r>
    </w:p>
    <w:p>
      <w:pPr>
        <w:pStyle w:val="ListBullet"/>
        <w:spacing w:after="80" w:line="264" w:lineRule="auto"/>
        <w:jc w:val="right"/>
        <w:bidi w:val="1"/>
      </w:pPr>
      <w:r>
        <w:rPr>
          <w:rFonts w:ascii="Arial" w:hAnsi="Arial" w:cs="Arial"/>
          <w:color w:val="1F2937"/>
          <w:sz w:val="21"/>
        </w:rPr>
        <w:t>تقدير Person-days منفصل لكل مسار، مع تحديد ما يمكن تنفيذه بالتوازي.</w:t>
      </w:r>
    </w:p>
    <w:p>
      <w:pPr>
        <w:pStyle w:val="ListBullet"/>
        <w:spacing w:after="80" w:line="264" w:lineRule="auto"/>
        <w:jc w:val="right"/>
        <w:bidi w:val="1"/>
      </w:pPr>
      <w:r>
        <w:rPr>
          <w:rFonts w:ascii="Arial" w:hAnsi="Arial" w:cs="Arial"/>
          <w:color w:val="1F2937"/>
          <w:sz w:val="21"/>
        </w:rPr>
        <w:t>مدة Calendar إجمالية مبنية على تكوين الفريق الفعلي وليست مجموع أيام الأفراد فقط.</w:t>
      </w:r>
    </w:p>
    <w:p>
      <w:pPr>
        <w:pStyle w:val="ListBullet"/>
        <w:spacing w:after="80" w:line="264" w:lineRule="auto"/>
        <w:jc w:val="right"/>
        <w:bidi w:val="1"/>
      </w:pPr>
      <w:r>
        <w:rPr>
          <w:rFonts w:ascii="Arial" w:hAnsi="Arial" w:cs="Arial"/>
          <w:color w:val="1F2937"/>
          <w:sz w:val="21"/>
        </w:rPr>
        <w:t>سعر تطوير لمرة واحدة، وتكلفة تشغيل شهرية/سنوية منفصلة، وخيارات الدعم بعد الضمان.</w:t>
      </w:r>
    </w:p>
    <w:p>
      <w:pPr>
        <w:pStyle w:val="ListBullet"/>
        <w:spacing w:after="80" w:line="264" w:lineRule="auto"/>
        <w:jc w:val="right"/>
        <w:bidi w:val="1"/>
      </w:pPr>
      <w:r>
        <w:rPr>
          <w:rFonts w:ascii="Arial" w:hAnsi="Arial" w:cs="Arial"/>
          <w:color w:val="1F2937"/>
          <w:sz w:val="21"/>
        </w:rPr>
        <w:t>قائمة Assumptions وExclusions تُرفق بالعرض المالي، وربط كل Optional Add-on بسعر ومدة مستقلين.</w:t>
      </w:r>
    </w:p>
    <w:p>
      <w:pPr>
        <w:pStyle w:val="ListBullet"/>
        <w:spacing w:after="80" w:line="264" w:lineRule="auto"/>
        <w:jc w:val="right"/>
        <w:bidi w:val="1"/>
      </w:pPr>
      <w:r>
        <w:rPr>
          <w:rFonts w:ascii="Arial" w:hAnsi="Arial" w:cs="Arial"/>
          <w:color w:val="1F2937"/>
          <w:sz w:val="21"/>
        </w:rPr>
        <w:t>تاريخ مستهدف لاعتماد العميل ثم بدء التنفيذ، مع عدد جولات UAT المسموح بها.</w:t>
      </w:r>
    </w:p>
    <w:p>
      <w:pPr>
        <w:pStyle w:val="Heading1"/>
        <w:jc w:val="right"/>
        <w:keepNext/>
        <w:bidi w:val="1"/>
      </w:pPr>
      <w:r>
        <w:rPr>
          <w:rFonts w:ascii="Arial" w:hAnsi="Arial" w:cs="Arial"/>
          <w:b/>
          <w:color w:val="2E74B5"/>
        </w:rPr>
        <w:t>20. اعتماد التقدير الداخلي</w:t>
      </w:r>
    </w:p>
    <w:tbl>
      <w:tblPr>
        <w:tblStyle w:val="TableGrid"/>
        <w:tblW w:type="dxa" w:w="9360"/>
        <w:tblLayout w:type="fixed"/>
        <w:tblLook w:firstColumn="1" w:firstRow="1" w:lastColumn="0" w:lastRow="0" w:noHBand="0" w:noVBand="1" w:val="04A0"/>
        <w:jc w:val="center"/>
        <w:tblInd w:w="120" w:type="dxa"/>
      </w:tblPr>
      <w:tblGrid>
        <w:gridCol w:w="2300"/>
        <w:gridCol w:w="4560"/>
        <w:gridCol w:w="2500"/>
      </w:tblGrid>
      <w:tr>
        <w:trPr>
          <w:tblHeader w:val="true"/>
        </w:trPr>
        <w:tc>
          <w:tcPr>
            <w:tcW w:type="dxa" w:w="2300"/>
            <w:tcMar>
              <w:top w:w="100" w:type="dxa"/>
              <w:start w:w="120" w:type="dxa"/>
              <w:bottom w:w="100" w:type="dxa"/>
              <w:end w:w="120" w:type="dxa"/>
            </w:tcMar>
            <w:vAlign w:val="center"/>
            <w:shd w:fill="F2F4F7"/>
          </w:tcPr>
          <w:p>
            <w:pPr>
              <w:spacing w:after="0"/>
              <w:jc w:val="center"/>
              <w:bidi w:val="1"/>
            </w:pPr>
            <w:r>
              <w:rPr>
                <w:rFonts w:ascii="Arial" w:hAnsi="Arial" w:cs="Arial"/>
                <w:b/>
                <w:color w:val="17365D"/>
                <w:sz w:val="18"/>
              </w:rPr>
              <w:t>الدور</w:t>
            </w:r>
          </w:p>
        </w:tc>
        <w:tc>
          <w:tcPr>
            <w:tcW w:type="dxa" w:w="4560"/>
            <w:tcMar>
              <w:top w:w="100" w:type="dxa"/>
              <w:start w:w="120" w:type="dxa"/>
              <w:bottom w:w="100" w:type="dxa"/>
              <w:end w:w="120" w:type="dxa"/>
            </w:tcMar>
            <w:vAlign w:val="center"/>
            <w:shd w:fill="F2F4F7"/>
          </w:tcPr>
          <w:p>
            <w:pPr>
              <w:spacing w:after="0"/>
              <w:jc w:val="center"/>
              <w:bidi w:val="1"/>
            </w:pPr>
            <w:r>
              <w:rPr>
                <w:rFonts w:ascii="Arial" w:hAnsi="Arial" w:cs="Arial"/>
                <w:b/>
                <w:color w:val="17365D"/>
                <w:sz w:val="18"/>
              </w:rPr>
              <w:t>الاسم/الاعتماد</w:t>
            </w:r>
          </w:p>
        </w:tc>
        <w:tc>
          <w:tcPr>
            <w:tcW w:type="dxa" w:w="2500"/>
            <w:tcMar>
              <w:top w:w="100" w:type="dxa"/>
              <w:start w:w="120" w:type="dxa"/>
              <w:bottom w:w="100" w:type="dxa"/>
              <w:end w:w="120" w:type="dxa"/>
            </w:tcMar>
            <w:vAlign w:val="center"/>
            <w:shd w:fill="F2F4F7"/>
          </w:tcPr>
          <w:p>
            <w:pPr>
              <w:spacing w:after="0"/>
              <w:jc w:val="center"/>
              <w:bidi w:val="1"/>
            </w:pPr>
            <w:r>
              <w:rPr>
                <w:rFonts w:ascii="Arial" w:hAnsi="Arial" w:cs="Arial"/>
                <w:b/>
                <w:color w:val="17365D"/>
                <w:sz w:val="18"/>
              </w:rPr>
              <w:t>التاريخ</w:t>
            </w:r>
          </w:p>
        </w:tc>
      </w:tr>
      <w:tr>
        <w:tc>
          <w:tcPr>
            <w:tcW w:type="dxa" w:w="2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Team Leader</w:t>
            </w:r>
          </w:p>
        </w:tc>
        <w:tc>
          <w:tcPr>
            <w:tcW w:type="dxa" w:w="45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________________________</w:t>
            </w:r>
          </w:p>
        </w:tc>
        <w:tc>
          <w:tcPr>
            <w:tcW w:type="dxa" w:w="25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w:t>
            </w:r>
          </w:p>
        </w:tc>
      </w:tr>
      <w:tr>
        <w:tc>
          <w:tcPr>
            <w:tcW w:type="dxa" w:w="2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Backend Lead</w:t>
            </w:r>
          </w:p>
        </w:tc>
        <w:tc>
          <w:tcPr>
            <w:tcW w:type="dxa" w:w="45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________________________</w:t>
            </w:r>
          </w:p>
        </w:tc>
        <w:tc>
          <w:tcPr>
            <w:tcW w:type="dxa" w:w="25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w:t>
            </w:r>
          </w:p>
        </w:tc>
      </w:tr>
      <w:tr>
        <w:tc>
          <w:tcPr>
            <w:tcW w:type="dxa" w:w="2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Frontend Lead</w:t>
            </w:r>
          </w:p>
        </w:tc>
        <w:tc>
          <w:tcPr>
            <w:tcW w:type="dxa" w:w="45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________________________</w:t>
            </w:r>
          </w:p>
        </w:tc>
        <w:tc>
          <w:tcPr>
            <w:tcW w:type="dxa" w:w="25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w:t>
            </w:r>
          </w:p>
        </w:tc>
      </w:tr>
      <w:tr>
        <w:tc>
          <w:tcPr>
            <w:tcW w:type="dxa" w:w="2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UI/UX</w:t>
            </w:r>
          </w:p>
        </w:tc>
        <w:tc>
          <w:tcPr>
            <w:tcW w:type="dxa" w:w="45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________________________</w:t>
            </w:r>
          </w:p>
        </w:tc>
        <w:tc>
          <w:tcPr>
            <w:tcW w:type="dxa" w:w="25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w:t>
            </w:r>
          </w:p>
        </w:tc>
      </w:tr>
      <w:tr>
        <w:tc>
          <w:tcPr>
            <w:tcW w:type="dxa" w:w="23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QA / Delivery</w:t>
            </w:r>
          </w:p>
        </w:tc>
        <w:tc>
          <w:tcPr>
            <w:tcW w:type="dxa" w:w="456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________________________</w:t>
            </w:r>
          </w:p>
        </w:tc>
        <w:tc>
          <w:tcPr>
            <w:tcW w:type="dxa" w:w="2500"/>
            <w:tcMar>
              <w:top w:w="100" w:type="dxa"/>
              <w:start w:w="120" w:type="dxa"/>
              <w:bottom w:w="100" w:type="dxa"/>
              <w:end w:w="120" w:type="dxa"/>
            </w:tcMar>
            <w:vAlign w:val="center"/>
          </w:tcPr>
          <w:p>
            <w:pPr>
              <w:spacing w:after="0" w:line="252" w:lineRule="auto"/>
              <w:jc w:val="right"/>
              <w:bidi w:val="1"/>
            </w:pPr>
            <w:r>
              <w:rPr>
                <w:rFonts w:ascii="Arial" w:hAnsi="Arial" w:cs="Arial"/>
                <w:color w:val="1F2937"/>
                <w:sz w:val="18"/>
              </w:rPr>
              <w:t>________________</w:t>
            </w:r>
          </w:p>
        </w:tc>
      </w:tr>
    </w:tbl>
    <w:p>
      <w:pPr>
        <w:spacing w:after="40"/>
      </w:pPr>
    </w:p>
    <w:p>
      <w:pPr>
        <w:spacing w:after="0"/>
        <w:jc w:val="right"/>
        <w:bidi w:val="1"/>
      </w:pPr>
      <w:r>
        <w:rPr>
          <w:rFonts w:ascii="Arial" w:hAnsi="Arial" w:cs="Arial"/>
          <w:b/>
          <w:color w:val="64748B"/>
          <w:sz w:val="19"/>
        </w:rPr>
        <w:t>نهاية التقرير</w:t>
      </w:r>
    </w:p>
    <w:sectPr w:rsidR="00FC693F" w:rsidRPr="0006063C" w:rsidSect="00034616">
      <w:headerReference w:type="default" r:id="rId9"/>
      <w:footerReference w:type="default" r:id="rId10"/>
      <w:pgSz w:w="12240" w:h="15840"/>
      <w:pgMar w:top="1123"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64748B"/>
        <w:sz w:val="18"/>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64748B"/>
        <w:sz w:val="17"/>
      </w:rPr>
      <w:t>تقرير داخلي للتقدير | نظام إدارة العيادة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80" w:line="264"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نطاق مبدئي للتقدير الفني والمالي - نظام إدارة العيادة</dc:title>
  <dc:subject>Internal estimation brief</dc:subject>
  <dc:creator>Project Team</dc:creator>
  <cp:keywords>Clinic, Booking, Cashier, Estimation, Requirements</cp:keywords>
  <dc:description>generated by python-docx</dc:description>
  <cp:lastModifiedBy/>
  <cp:revision>1</cp:revision>
  <dcterms:created xsi:type="dcterms:W3CDTF">2013-12-23T23:15:00Z</dcterms:created>
  <dcterms:modified xsi:type="dcterms:W3CDTF">2013-12-23T23:15:00Z</dcterms:modified>
  <cp:category/>
</cp:coreProperties>
</file>