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r>
        <w:t>Northwind Labs employees are entitled to 25 days of paid annual leave per calendar year. Unused leave of up to 5 days can be carried over to the next year.</w:t>
      </w:r>
    </w:p>
    <w:p>
      <w:pPr>
        <w:pStyle w:val="Heading2"/>
      </w:pPr>
      <w:r>
        <w:t>Parental leave</w:t>
      </w:r>
    </w:p>
    <w:p>
      <w:r>
        <w:t>Primary caregivers receive 16 weeks of fully paid parental leave. Secondary caregivers receive 6 weeks.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Benefit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Learning budget</w:t>
            </w:r>
          </w:p>
        </w:tc>
        <w:tc>
          <w:tcPr>
            <w:tcW w:type="dxa" w:w="4320"/>
          </w:tcPr>
          <w:p>
            <w:r>
              <w:t>1500 EUR per year</w:t>
            </w:r>
          </w:p>
        </w:tc>
      </w:tr>
      <w:tr>
        <w:tc>
          <w:tcPr>
            <w:tcW w:type="dxa" w:w="4320"/>
          </w:tcPr>
          <w:p>
            <w:r>
              <w:t>Home office stipend</w:t>
            </w:r>
          </w:p>
        </w:tc>
        <w:tc>
          <w:tcPr>
            <w:tcW w:type="dxa" w:w="4320"/>
          </w:tcPr>
          <w:p>
            <w:r>
              <w:t>400 EUR one-time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