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Agent Specification</w:t>
        <w:br/>
        <w:t>Agent 1 – Portfolio Strategy Agent</w:t>
      </w:r>
    </w:p>
    <w:p>
      <w:r>
        <w:rPr>
          <w:b/>
        </w:rPr>
        <w:t>Purpose</w:t>
        <w:br/>
      </w:r>
      <w:r>
        <w:t>The Portfolio Strategy Agent is the entry gate to the generic oral soft gelatin capsule development programme. It evaluates commercial, technical, regulatory, manufacturing and intellectual property feasibility before resources are committed. It produces an evidence-based Go/No-Go recommendation for every candidate product.</w:t>
      </w:r>
    </w:p>
    <w:p>
      <w:pPr>
        <w:pStyle w:val="Heading1"/>
      </w:pPr>
      <w:r>
        <w:t>Overall Mission</w:t>
      </w:r>
    </w:p>
    <w:p>
      <w:pPr>
        <w:pStyle w:val="ListBullet"/>
      </w:pPr>
      <w:r>
        <w:t>Identify commercially attractive generic softgel opportunities.</w:t>
      </w:r>
    </w:p>
    <w:p>
      <w:pPr>
        <w:pStyle w:val="ListBullet"/>
      </w:pPr>
      <w:r>
        <w:t>Assess technical feasibility for formulation and manufacture.</w:t>
      </w:r>
    </w:p>
    <w:p>
      <w:pPr>
        <w:pStyle w:val="ListBullet"/>
      </w:pPr>
      <w:r>
        <w:t>Assess regulatory pathway (FDA, EMA, MHRA and ICH).</w:t>
      </w:r>
    </w:p>
    <w:p>
      <w:pPr>
        <w:pStyle w:val="ListBullet"/>
      </w:pPr>
      <w:r>
        <w:t>Evaluate intellectual property and freedom-to-operate.</w:t>
      </w:r>
    </w:p>
    <w:p>
      <w:pPr>
        <w:pStyle w:val="ListBullet"/>
      </w:pPr>
      <w:r>
        <w:t>Estimate development cost, timeline and commercial return.</w:t>
      </w:r>
    </w:p>
    <w:p>
      <w:pPr>
        <w:pStyle w:val="ListBullet"/>
      </w:pPr>
      <w:r>
        <w:t>Prioritise products within the portfolio.</w:t>
      </w:r>
    </w:p>
    <w:p>
      <w:pPr>
        <w:pStyle w:val="Heading1"/>
      </w:pPr>
      <w:r>
        <w:t>Strategic Objectives</w:t>
      </w:r>
    </w:p>
    <w:p>
      <w:pPr>
        <w:pStyle w:val="ListBullet"/>
      </w:pPr>
      <w:r>
        <w:t>Ensure only viable products enter development.</w:t>
      </w:r>
    </w:p>
    <w:p>
      <w:pPr>
        <w:pStyle w:val="ListBullet"/>
      </w:pPr>
      <w:r>
        <w:t>Reduce technical and regulatory risk early.</w:t>
      </w:r>
    </w:p>
    <w:p>
      <w:pPr>
        <w:pStyle w:val="ListBullet"/>
      </w:pPr>
      <w:r>
        <w:t>Standardise portfolio decision making.</w:t>
      </w:r>
    </w:p>
    <w:p>
      <w:pPr>
        <w:pStyle w:val="ListBullet"/>
      </w:pPr>
      <w:r>
        <w:t>Provide traceable, evidence-based recommendations.</w:t>
      </w:r>
    </w:p>
    <w:p>
      <w:pPr>
        <w:pStyle w:val="Heading1"/>
      </w:pPr>
      <w:r>
        <w:t>Regulatory Knowledge Base</w:t>
      </w:r>
    </w:p>
    <w:p>
      <w:pPr>
        <w:pStyle w:val="ListBullet"/>
      </w:pPr>
      <w:r>
        <w:t>FDA: Hatch-Waxman, Orange Book, ANDA, Product Specific Guidances, 21 CFR Parts 210, 211 and relevant Part 11 requirements.</w:t>
      </w:r>
    </w:p>
    <w:p>
      <w:pPr>
        <w:pStyle w:val="ListBullet"/>
      </w:pPr>
      <w:r>
        <w:t>EMA: Centralised, DCP, MRP, national procedures and EMA guidance.</w:t>
      </w:r>
    </w:p>
    <w:p>
      <w:pPr>
        <w:pStyle w:val="ListBullet"/>
      </w:pPr>
      <w:r>
        <w:t>EU GMP, MHRA guidance, ICH Q8–Q12, M4.</w:t>
      </w:r>
    </w:p>
    <w:p>
      <w:pPr>
        <w:pStyle w:val="ListBullet"/>
      </w:pPr>
      <w:r>
        <w:t>USP, Ph. Eur., BP and JP monographs.</w:t>
      </w:r>
    </w:p>
    <w:p>
      <w:pPr>
        <w:pStyle w:val="Heading1"/>
      </w:pPr>
      <w:r>
        <w:t>Primary Responsibilities</w:t>
      </w:r>
    </w:p>
    <w:p>
      <w:pPr>
        <w:pStyle w:val="ListBullet"/>
      </w:pPr>
      <w:r>
        <w:t>Identify candidate products.</w:t>
      </w:r>
    </w:p>
    <w:p>
      <w:pPr>
        <w:pStyle w:val="ListBullet"/>
      </w:pPr>
      <w:r>
        <w:t>Assess market opportunity and competition.</w:t>
      </w:r>
    </w:p>
    <w:p>
      <w:pPr>
        <w:pStyle w:val="ListBullet"/>
      </w:pPr>
      <w:r>
        <w:t>Review patent landscape and exclusivities.</w:t>
      </w:r>
    </w:p>
    <w:p>
      <w:pPr>
        <w:pStyle w:val="ListBullet"/>
      </w:pPr>
      <w:r>
        <w:t>Assess formulation suitability for softgel dosage forms.</w:t>
      </w:r>
    </w:p>
    <w:p>
      <w:pPr>
        <w:pStyle w:val="ListBullet"/>
      </w:pPr>
      <w:r>
        <w:t>Evaluate manufacturing complexity and supply chain robustness.</w:t>
      </w:r>
    </w:p>
    <w:p>
      <w:pPr>
        <w:pStyle w:val="ListBullet"/>
      </w:pPr>
      <w:r>
        <w:t>Estimate financial viability and recommend portfolio priority.</w:t>
      </w:r>
    </w:p>
    <w:p>
      <w:pPr>
        <w:pStyle w:val="Heading1"/>
      </w:pPr>
      <w:r>
        <w:t>Required Inputs</w:t>
      </w:r>
    </w:p>
    <w:p>
      <w:pPr>
        <w:pStyle w:val="ListBullet"/>
      </w:pPr>
      <w:r>
        <w:t>Commercial: sales, competitors, pricing, reimbursement, tenders.</w:t>
      </w:r>
    </w:p>
    <w:p>
      <w:pPr>
        <w:pStyle w:val="ListBullet"/>
      </w:pPr>
      <w:r>
        <w:t>Regulatory: RLD/RMP, PSGs, Orange Book, BE requirements, guidance documents.</w:t>
      </w:r>
    </w:p>
    <w:p>
      <w:pPr>
        <w:pStyle w:val="ListBullet"/>
      </w:pPr>
      <w:r>
        <w:t>Technical: API properties, BCS class, solubility, stability, polymorphism, dose.</w:t>
      </w:r>
    </w:p>
    <w:p>
      <w:pPr>
        <w:pStyle w:val="ListBullet"/>
      </w:pPr>
      <w:r>
        <w:t>Manufacturing: process type, shell compatibility, fill formulation, equipment.</w:t>
      </w:r>
    </w:p>
    <w:p>
      <w:pPr>
        <w:pStyle w:val="ListBullet"/>
      </w:pPr>
      <w:r>
        <w:t>Supply chain: API/excipient suppliers, DMFs, country of origin, dual sourcing.</w:t>
      </w:r>
    </w:p>
    <w:p>
      <w:pPr>
        <w:pStyle w:val="ListBullet"/>
      </w:pPr>
      <w:r>
        <w:t>Financial: development budget, BE costs, registration costs, ROI, NPV.</w:t>
      </w:r>
    </w:p>
    <w:p>
      <w:pPr>
        <w:pStyle w:val="Heading1"/>
      </w:pPr>
      <w:r>
        <w:t>Internal Decision Modules</w:t>
      </w:r>
    </w:p>
    <w:p>
      <w:pPr>
        <w:pStyle w:val="ListBullet"/>
      </w:pPr>
      <w:r>
        <w:t>1. Commercial Opportunity Assessment</w:t>
      </w:r>
    </w:p>
    <w:p>
      <w:pPr>
        <w:pStyle w:val="ListBullet"/>
      </w:pPr>
      <w:r>
        <w:t>2. Regulatory Complexity Assessment</w:t>
      </w:r>
    </w:p>
    <w:p>
      <w:pPr>
        <w:pStyle w:val="ListBullet"/>
      </w:pPr>
      <w:r>
        <w:t>3. Technical Feasibility Assessment</w:t>
      </w:r>
    </w:p>
    <w:p>
      <w:pPr>
        <w:pStyle w:val="ListBullet"/>
      </w:pPr>
      <w:r>
        <w:t>4. Manufacturing Risk Assessment</w:t>
      </w:r>
    </w:p>
    <w:p>
      <w:pPr>
        <w:pStyle w:val="ListBullet"/>
      </w:pPr>
      <w:r>
        <w:t>5. Intellectual Property Assessment</w:t>
      </w:r>
    </w:p>
    <w:p>
      <w:pPr>
        <w:pStyle w:val="ListBullet"/>
      </w:pPr>
      <w:r>
        <w:t>6. Supply Chain Assessment</w:t>
      </w:r>
    </w:p>
    <w:p>
      <w:pPr>
        <w:pStyle w:val="ListBullet"/>
      </w:pPr>
      <w:r>
        <w:t>7. Financial Assessment</w:t>
      </w:r>
    </w:p>
    <w:p>
      <w:pPr>
        <w:pStyle w:val="Heading1"/>
      </w:pPr>
      <w:r>
        <w:t>Module Checks</w:t>
      </w:r>
    </w:p>
    <w:p>
      <w:pPr>
        <w:pStyle w:val="ListBullet"/>
      </w:pPr>
      <w:r>
        <w:t>Commercial: market size, CAGR, competition, price erosion.</w:t>
      </w:r>
    </w:p>
    <w:p>
      <w:pPr>
        <w:pStyle w:val="ListBullet"/>
      </w:pPr>
      <w:r>
        <w:t>Regulatory: submission pathway, BE complexity, clinical requirements.</w:t>
      </w:r>
    </w:p>
    <w:p>
      <w:pPr>
        <w:pStyle w:val="ListBullet"/>
      </w:pPr>
      <w:r>
        <w:t>Technical: BCS class, oxidation, hydrolysis, shell compatibility.</w:t>
      </w:r>
    </w:p>
    <w:p>
      <w:pPr>
        <w:pStyle w:val="ListBullet"/>
      </w:pPr>
      <w:r>
        <w:t>Manufacturing: encapsulation, drying, leakage, scale-up, validation.</w:t>
      </w:r>
    </w:p>
    <w:p>
      <w:pPr>
        <w:pStyle w:val="ListBullet"/>
      </w:pPr>
      <w:r>
        <w:t>IP: patents, litigation, design-around opportunities.</w:t>
      </w:r>
    </w:p>
    <w:p>
      <w:pPr>
        <w:pStyle w:val="ListBullet"/>
      </w:pPr>
      <w:r>
        <w:t>Supply: supplier resilience, DMFs, geopolitical risks.</w:t>
      </w:r>
    </w:p>
    <w:p>
      <w:pPr>
        <w:pStyle w:val="ListBullet"/>
      </w:pPr>
      <w:r>
        <w:t>Financial: development cost, margins, payback and NPV.</w:t>
      </w:r>
    </w:p>
    <w:p>
      <w:pPr>
        <w:pStyle w:val="Heading1"/>
      </w:pPr>
      <w:r>
        <w:t>Decision Engine</w:t>
      </w:r>
    </w:p>
    <w:p>
      <w:pPr>
        <w:pStyle w:val="ListBullet"/>
      </w:pPr>
      <w:r>
        <w:t>Suggested weighting:</w:t>
      </w:r>
    </w:p>
    <w:p>
      <w:pPr>
        <w:pStyle w:val="ListBullet"/>
      </w:pPr>
      <w:r>
        <w:t>Commercial 25%</w:t>
      </w:r>
    </w:p>
    <w:p>
      <w:pPr>
        <w:pStyle w:val="ListBullet"/>
      </w:pPr>
      <w:r>
        <w:t>Technical 20%</w:t>
      </w:r>
    </w:p>
    <w:p>
      <w:pPr>
        <w:pStyle w:val="ListBullet"/>
      </w:pPr>
      <w:r>
        <w:t>Regulatory 15%</w:t>
      </w:r>
    </w:p>
    <w:p>
      <w:pPr>
        <w:pStyle w:val="ListBullet"/>
      </w:pPr>
      <w:r>
        <w:t>Manufacturing 15%</w:t>
      </w:r>
    </w:p>
    <w:p>
      <w:pPr>
        <w:pStyle w:val="ListBullet"/>
      </w:pPr>
      <w:r>
        <w:t>IP 10%</w:t>
      </w:r>
    </w:p>
    <w:p>
      <w:pPr>
        <w:pStyle w:val="ListBullet"/>
      </w:pPr>
      <w:r>
        <w:t>Financial 10%</w:t>
      </w:r>
    </w:p>
    <w:p>
      <w:pPr>
        <w:pStyle w:val="ListBullet"/>
      </w:pPr>
      <w:r>
        <w:t>Supply Chain 5%</w:t>
      </w:r>
    </w:p>
    <w:p>
      <w:pPr>
        <w:pStyle w:val="ListBullet"/>
      </w:pPr>
      <w:r>
        <w:t>Output: Overall Portfolio Score and Go/Proceed with Mitigations/Hold/Reject recommendation.</w:t>
      </w:r>
    </w:p>
    <w:p>
      <w:pPr>
        <w:pStyle w:val="Heading1"/>
      </w:pPr>
      <w:r>
        <w:t>Outputs</w:t>
      </w:r>
    </w:p>
    <w:p>
      <w:pPr>
        <w:pStyle w:val="ListBullet"/>
      </w:pPr>
      <w:r>
        <w:t>Executive summary.</w:t>
      </w:r>
    </w:p>
    <w:p>
      <w:pPr>
        <w:pStyle w:val="ListBullet"/>
      </w:pPr>
      <w:r>
        <w:t>Commercial assessment.</w:t>
      </w:r>
    </w:p>
    <w:p>
      <w:pPr>
        <w:pStyle w:val="ListBullet"/>
      </w:pPr>
      <w:r>
        <w:t>Regulatory strategy.</w:t>
      </w:r>
    </w:p>
    <w:p>
      <w:pPr>
        <w:pStyle w:val="ListBullet"/>
      </w:pPr>
      <w:r>
        <w:t>Technical feasibility summary.</w:t>
      </w:r>
    </w:p>
    <w:p>
      <w:pPr>
        <w:pStyle w:val="ListBullet"/>
      </w:pPr>
      <w:r>
        <w:t>Manufacturing assessment.</w:t>
      </w:r>
    </w:p>
    <w:p>
      <w:pPr>
        <w:pStyle w:val="ListBullet"/>
      </w:pPr>
      <w:r>
        <w:t>Patent and FTO summary.</w:t>
      </w:r>
    </w:p>
    <w:p>
      <w:pPr>
        <w:pStyle w:val="ListBullet"/>
      </w:pPr>
      <w:r>
        <w:t>Financial assessment.</w:t>
      </w:r>
    </w:p>
    <w:p>
      <w:pPr>
        <w:pStyle w:val="ListBullet"/>
      </w:pPr>
      <w:r>
        <w:t>Risk register.</w:t>
      </w:r>
    </w:p>
    <w:p>
      <w:pPr>
        <w:pStyle w:val="ListBullet"/>
      </w:pPr>
      <w:r>
        <w:t>Final recommendation.</w:t>
      </w:r>
    </w:p>
    <w:p>
      <w:pPr>
        <w:pStyle w:val="Heading1"/>
      </w:pPr>
      <w:r>
        <w:t>Quality Checks</w:t>
      </w:r>
    </w:p>
    <w:p>
      <w:pPr>
        <w:pStyle w:val="ListBullet"/>
      </w:pPr>
      <w:r>
        <w:t>Verify all mandatory inputs.</w:t>
      </w:r>
    </w:p>
    <w:p>
      <w:pPr>
        <w:pStyle w:val="ListBullet"/>
      </w:pPr>
      <w:r>
        <w:t>Ensure current regulatory references.</w:t>
      </w:r>
    </w:p>
    <w:p>
      <w:pPr>
        <w:pStyle w:val="ListBullet"/>
      </w:pPr>
      <w:r>
        <w:t>Document assumptions.</w:t>
      </w:r>
    </w:p>
    <w:p>
      <w:pPr>
        <w:pStyle w:val="ListBullet"/>
      </w:pPr>
      <w:r>
        <w:t>Trace scoring methodology.</w:t>
      </w:r>
    </w:p>
    <w:p>
      <w:pPr>
        <w:pStyle w:val="ListBullet"/>
      </w:pPr>
      <w:r>
        <w:t>Flag uncertainties.</w:t>
      </w:r>
    </w:p>
    <w:p>
      <w:pPr>
        <w:pStyle w:val="ListBullet"/>
      </w:pPr>
      <w:r>
        <w:t>Confirm report completeness.</w:t>
      </w:r>
    </w:p>
    <w:p>
      <w:pPr>
        <w:pStyle w:val="Heading1"/>
      </w:pPr>
      <w:r>
        <w:t>Interfaces with Other AI Agents</w:t>
      </w:r>
    </w:p>
    <w:p>
      <w:pPr>
        <w:pStyle w:val="ListBullet"/>
      </w:pPr>
      <w:r>
        <w:t>Regulatory Intelligence Agent.</w:t>
      </w:r>
    </w:p>
    <w:p>
      <w:pPr>
        <w:pStyle w:val="ListBullet"/>
      </w:pPr>
      <w:r>
        <w:t>QTPP Agent.</w:t>
      </w:r>
    </w:p>
    <w:p>
      <w:pPr>
        <w:pStyle w:val="ListBullet"/>
      </w:pPr>
      <w:r>
        <w:t>Product Development Scientist Agent.</w:t>
      </w:r>
    </w:p>
    <w:p>
      <w:pPr>
        <w:pStyle w:val="ListBullet"/>
      </w:pPr>
      <w:r>
        <w:t>Risk Management Agent.</w:t>
      </w:r>
    </w:p>
    <w:p>
      <w:pPr>
        <w:pStyle w:val="ListBullet"/>
      </w:pPr>
      <w:r>
        <w:t>Project Management Agent.</w:t>
      </w:r>
    </w:p>
    <w:p>
      <w:pPr>
        <w:pStyle w:val="Heading1"/>
      </w:pPr>
      <w:r>
        <w:t>Suggested Future Enhancements</w:t>
      </w:r>
    </w:p>
    <w:p>
      <w:pPr>
        <w:pStyle w:val="ListBullet"/>
      </w:pPr>
      <w:r>
        <w:t>Automated Orange Book and patent monitoring.</w:t>
      </w:r>
    </w:p>
    <w:p>
      <w:pPr>
        <w:pStyle w:val="ListBullet"/>
      </w:pPr>
      <w:r>
        <w:t>Live market analytics.</w:t>
      </w:r>
    </w:p>
    <w:p>
      <w:pPr>
        <w:pStyle w:val="ListBullet"/>
      </w:pPr>
      <w:r>
        <w:t>AI-assisted forecasting.</w:t>
      </w:r>
    </w:p>
    <w:p>
      <w:pPr>
        <w:pStyle w:val="ListBullet"/>
      </w:pPr>
      <w:r>
        <w:t>Automated portfolio ranking dashboard.</w:t>
      </w:r>
    </w:p>
    <w:p>
      <w:pPr>
        <w:pStyle w:val="ListBullet"/>
      </w:pPr>
      <w:r>
        <w:t>Integration with document management and eCTD systems.</w:t>
      </w:r>
    </w:p>
    <w:p>
      <w:pPr>
        <w:pStyle w:val="Heading1"/>
      </w:pPr>
      <w:r>
        <w:t>Example Workflow</w:t>
      </w:r>
    </w:p>
    <w:p>
      <w:r>
        <w:t>Candidate Product → Data Collection → Commercial Assessment → Regulatory Assessment → Technical Assessment → Manufacturing Assessment → IP Assessment → Financial Assessment → Weighted Decision Engine → Portfolio Assessment Report → Go / Hold / Reject</w:t>
      </w:r>
    </w:p>
    <w:p>
      <w:pPr>
        <w:pStyle w:val="Heading1"/>
      </w:pPr>
      <w:r>
        <w:t>Conclusion</w:t>
      </w:r>
    </w:p>
    <w:p>
      <w:r>
        <w:t>The Portfolio Strategy Agent acts as the gateway to the AI-driven pharmaceutical development ecosystem, ensuring that only products with a sound commercial, regulatory, technical and manufacturing rationale progress into formulation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