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Design Specification (SDS)</w:t>
        <w:br/>
        <w:t>AI Agent 1 – Portfolio Strategy Agent</w:t>
        <w:br/>
        <w:t>Version 1.0</w:t>
      </w:r>
    </w:p>
    <w:p>
      <w:r>
        <w:t>This document defines the functional and technical design specification for the Portfolio Strategy Agent within an AI ecosystem supporting the development of generic oral soft gelatin capsule pharmaceuticals. The agent serves as the gateway to the development programme and provides evidence-based portfolio recommendations aligned with FDA, EMA, MHRA, EU GMP, FDA 21 CFR Parts 210/211, ICH Q8–Q12, ICH M4 and applicable pharmacopoeias.</w:t>
      </w:r>
    </w:p>
    <w:p>
      <w:pPr>
        <w:pStyle w:val="Heading1"/>
      </w:pPr>
      <w:r>
        <w:t>1. Purpose</w:t>
      </w:r>
    </w:p>
    <w:p>
      <w:pPr>
        <w:pStyle w:val="ListBullet"/>
      </w:pPr>
      <w:r>
        <w:t>Define the mission, scope and operating principles.</w:t>
      </w:r>
    </w:p>
    <w:p>
      <w:pPr>
        <w:pStyle w:val="ListBullet"/>
      </w:pPr>
      <w:r>
        <w:t>Ensure consistent portfolio decisions.</w:t>
      </w:r>
    </w:p>
    <w:p>
      <w:pPr>
        <w:pStyle w:val="ListBullet"/>
      </w:pPr>
      <w:r>
        <w:t>Prevent unsuitable products entering development.</w:t>
      </w:r>
    </w:p>
    <w:p>
      <w:pPr>
        <w:pStyle w:val="Heading2"/>
      </w:pPr>
      <w:r>
        <w:t>1. Purpose.1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1. Purpose.2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1. Purpose.3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1. Purpose.4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1. Purpose.5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1"/>
      </w:pPr>
      <w:r>
        <w:t>2. Scope</w:t>
      </w:r>
    </w:p>
    <w:p>
      <w:pPr>
        <w:pStyle w:val="ListBullet"/>
      </w:pPr>
      <w:r>
        <w:t>Applies to all candidate generic oral softgel products.</w:t>
      </w:r>
    </w:p>
    <w:p>
      <w:pPr>
        <w:pStyle w:val="ListBullet"/>
      </w:pPr>
      <w:r>
        <w:t>Supports global development strategies.</w:t>
      </w:r>
    </w:p>
    <w:p>
      <w:pPr>
        <w:pStyle w:val="ListBullet"/>
      </w:pPr>
      <w:r>
        <w:t>Interfaces with downstream AI agents.</w:t>
      </w:r>
    </w:p>
    <w:p>
      <w:pPr>
        <w:pStyle w:val="Heading2"/>
      </w:pPr>
      <w:r>
        <w:t>2. Scope.1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2. Scope.2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2. Scope.3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2. Scope.4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2. Scope.5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1"/>
      </w:pPr>
      <w:r>
        <w:t>3. Mission Statement</w:t>
      </w:r>
    </w:p>
    <w:p>
      <w:pPr>
        <w:pStyle w:val="ListBullet"/>
      </w:pPr>
      <w:r>
        <w:t>Identify, assess, prioritise and recommend product opportunities using transparent, traceable and auditable decision making.</w:t>
      </w:r>
    </w:p>
    <w:p>
      <w:pPr>
        <w:pStyle w:val="Heading2"/>
      </w:pPr>
      <w:r>
        <w:t>3. Mission Statement.1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3. Mission Statement.2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3. Mission Statement.3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3. Mission Statement.4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3. Mission Statement.5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1"/>
      </w:pPr>
      <w:r>
        <w:t>4. Regulatory Framework</w:t>
      </w:r>
    </w:p>
    <w:p>
      <w:pPr>
        <w:pStyle w:val="ListBullet"/>
      </w:pPr>
      <w:r>
        <w:t>FDA Orange Book</w:t>
      </w:r>
    </w:p>
    <w:p>
      <w:pPr>
        <w:pStyle w:val="ListBullet"/>
      </w:pPr>
      <w:r>
        <w:t>FDA Product Specific Guidances</w:t>
      </w:r>
    </w:p>
    <w:p>
      <w:pPr>
        <w:pStyle w:val="ListBullet"/>
      </w:pPr>
      <w:r>
        <w:t>21 CFR Parts 210/211</w:t>
      </w:r>
    </w:p>
    <w:p>
      <w:pPr>
        <w:pStyle w:val="ListBullet"/>
      </w:pPr>
      <w:r>
        <w:t>Relevant 21 CFR Part 11 principles</w:t>
      </w:r>
    </w:p>
    <w:p>
      <w:pPr>
        <w:pStyle w:val="ListBullet"/>
      </w:pPr>
      <w:r>
        <w:t>EMA guidance</w:t>
      </w:r>
    </w:p>
    <w:p>
      <w:pPr>
        <w:pStyle w:val="ListBullet"/>
      </w:pPr>
      <w:r>
        <w:t>EU GMP</w:t>
      </w:r>
    </w:p>
    <w:p>
      <w:pPr>
        <w:pStyle w:val="ListBullet"/>
      </w:pPr>
      <w:r>
        <w:t>ICH Q8, Q9, Q10, Q11, Q12, M4</w:t>
      </w:r>
    </w:p>
    <w:p>
      <w:pPr>
        <w:pStyle w:val="ListBullet"/>
      </w:pPr>
      <w:r>
        <w:t>USP, Ph. Eur., BP</w:t>
      </w:r>
    </w:p>
    <w:p>
      <w:pPr>
        <w:pStyle w:val="Heading2"/>
      </w:pPr>
      <w:r>
        <w:t>4. Regulatory Framework.1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4. Regulatory Framework.2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4. Regulatory Framework.3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4. Regulatory Framework.4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4. Regulatory Framework.5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1"/>
      </w:pPr>
      <w:r>
        <w:t>5. Functional Responsibilities</w:t>
      </w:r>
    </w:p>
    <w:p>
      <w:pPr>
        <w:pStyle w:val="ListBullet"/>
      </w:pPr>
      <w:r>
        <w:t>Commercial opportunity assessment</w:t>
      </w:r>
    </w:p>
    <w:p>
      <w:pPr>
        <w:pStyle w:val="ListBullet"/>
      </w:pPr>
      <w:r>
        <w:t>Technical feasibility assessment</w:t>
      </w:r>
    </w:p>
    <w:p>
      <w:pPr>
        <w:pStyle w:val="ListBullet"/>
      </w:pPr>
      <w:r>
        <w:t>Regulatory pathway assessment</w:t>
      </w:r>
    </w:p>
    <w:p>
      <w:pPr>
        <w:pStyle w:val="ListBullet"/>
      </w:pPr>
      <w:r>
        <w:t>Manufacturing suitability</w:t>
      </w:r>
    </w:p>
    <w:p>
      <w:pPr>
        <w:pStyle w:val="ListBullet"/>
      </w:pPr>
      <w:r>
        <w:t>Intellectual property review</w:t>
      </w:r>
    </w:p>
    <w:p>
      <w:pPr>
        <w:pStyle w:val="ListBullet"/>
      </w:pPr>
      <w:r>
        <w:t>Supply chain review</w:t>
      </w:r>
    </w:p>
    <w:p>
      <w:pPr>
        <w:pStyle w:val="ListBullet"/>
      </w:pPr>
      <w:r>
        <w:t>Financial modelling</w:t>
      </w:r>
    </w:p>
    <w:p>
      <w:pPr>
        <w:pStyle w:val="ListBullet"/>
      </w:pPr>
      <w:r>
        <w:t>Portfolio ranking</w:t>
      </w:r>
    </w:p>
    <w:p>
      <w:pPr>
        <w:pStyle w:val="ListBullet"/>
      </w:pPr>
      <w:r>
        <w:t>Decision reporting</w:t>
      </w:r>
    </w:p>
    <w:p>
      <w:pPr>
        <w:pStyle w:val="Heading2"/>
      </w:pPr>
      <w:r>
        <w:t>5. Functional Responsibilities.1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5. Functional Responsibilities.2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5. Functional Responsibilities.3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5. Functional Responsibilities.4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5. Functional Responsibilities.5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1"/>
      </w:pPr>
      <w:r>
        <w:t>6. System Inputs</w:t>
      </w:r>
    </w:p>
    <w:p>
      <w:pPr>
        <w:pStyle w:val="ListBullet"/>
      </w:pPr>
      <w:r>
        <w:t>API physicochemical data</w:t>
      </w:r>
    </w:p>
    <w:p>
      <w:pPr>
        <w:pStyle w:val="ListBullet"/>
      </w:pPr>
      <w:r>
        <w:t>Market intelligence</w:t>
      </w:r>
    </w:p>
    <w:p>
      <w:pPr>
        <w:pStyle w:val="ListBullet"/>
      </w:pPr>
      <w:r>
        <w:t>Patent landscape</w:t>
      </w:r>
    </w:p>
    <w:p>
      <w:pPr>
        <w:pStyle w:val="ListBullet"/>
      </w:pPr>
      <w:r>
        <w:t>Regulatory guidance</w:t>
      </w:r>
    </w:p>
    <w:p>
      <w:pPr>
        <w:pStyle w:val="ListBullet"/>
      </w:pPr>
      <w:r>
        <w:t>Manufacturing capabilities</w:t>
      </w:r>
    </w:p>
    <w:p>
      <w:pPr>
        <w:pStyle w:val="ListBullet"/>
      </w:pPr>
      <w:r>
        <w:t>Supplier information</w:t>
      </w:r>
    </w:p>
    <w:p>
      <w:pPr>
        <w:pStyle w:val="ListBullet"/>
      </w:pPr>
      <w:r>
        <w:t>Financial assumptions</w:t>
      </w:r>
    </w:p>
    <w:p>
      <w:pPr>
        <w:pStyle w:val="Heading2"/>
      </w:pPr>
      <w:r>
        <w:t>6. System Inputs.1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6. System Inputs.2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6. System Inputs.3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6. System Inputs.4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6. System Inputs.5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1"/>
      </w:pPr>
      <w:r>
        <w:t>7. Outputs</w:t>
      </w:r>
    </w:p>
    <w:p>
      <w:pPr>
        <w:pStyle w:val="ListBullet"/>
      </w:pPr>
      <w:r>
        <w:t>Portfolio Assessment Report</w:t>
      </w:r>
    </w:p>
    <w:p>
      <w:pPr>
        <w:pStyle w:val="ListBullet"/>
      </w:pPr>
      <w:r>
        <w:t>Go/No-Go recommendation</w:t>
      </w:r>
    </w:p>
    <w:p>
      <w:pPr>
        <w:pStyle w:val="ListBullet"/>
      </w:pPr>
      <w:r>
        <w:t>Risk register</w:t>
      </w:r>
    </w:p>
    <w:p>
      <w:pPr>
        <w:pStyle w:val="ListBullet"/>
      </w:pPr>
      <w:r>
        <w:t>Development roadmap</w:t>
      </w:r>
    </w:p>
    <w:p>
      <w:pPr>
        <w:pStyle w:val="ListBullet"/>
      </w:pPr>
      <w:r>
        <w:t>Executive summary</w:t>
      </w:r>
    </w:p>
    <w:p>
      <w:pPr>
        <w:pStyle w:val="Heading2"/>
      </w:pPr>
      <w:r>
        <w:t>7. Outputs.1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7. Outputs.2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7. Outputs.3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7. Outputs.4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7. Outputs.5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1"/>
      </w:pPr>
      <w:r>
        <w:t>8. External Interfaces</w:t>
      </w:r>
    </w:p>
    <w:p>
      <w:pPr>
        <w:pStyle w:val="ListBullet"/>
      </w:pPr>
      <w:r>
        <w:t>Regulatory Intelligence Agent</w:t>
      </w:r>
    </w:p>
    <w:p>
      <w:pPr>
        <w:pStyle w:val="ListBullet"/>
      </w:pPr>
      <w:r>
        <w:t>QTPP Agent</w:t>
      </w:r>
    </w:p>
    <w:p>
      <w:pPr>
        <w:pStyle w:val="ListBullet"/>
      </w:pPr>
      <w:r>
        <w:t>Product Development Agent</w:t>
      </w:r>
    </w:p>
    <w:p>
      <w:pPr>
        <w:pStyle w:val="ListBullet"/>
      </w:pPr>
      <w:r>
        <w:t>Risk Management Agent</w:t>
      </w:r>
    </w:p>
    <w:p>
      <w:pPr>
        <w:pStyle w:val="ListBullet"/>
      </w:pPr>
      <w:r>
        <w:t>Project Management Agent</w:t>
      </w:r>
    </w:p>
    <w:p>
      <w:pPr>
        <w:pStyle w:val="Heading2"/>
      </w:pPr>
      <w:r>
        <w:t>8. External Interfaces.1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8. External Interfaces.2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8. External Interfaces.3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8. External Interfaces.4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8. External Interfaces.5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1"/>
      </w:pPr>
      <w:r>
        <w:t>9. Security &amp; Audit</w:t>
      </w:r>
    </w:p>
    <w:p>
      <w:pPr>
        <w:pStyle w:val="ListBullet"/>
      </w:pPr>
      <w:r>
        <w:t>Immutable decision log</w:t>
      </w:r>
    </w:p>
    <w:p>
      <w:pPr>
        <w:pStyle w:val="ListBullet"/>
      </w:pPr>
      <w:r>
        <w:t>Version-controlled knowledge base</w:t>
      </w:r>
    </w:p>
    <w:p>
      <w:pPr>
        <w:pStyle w:val="ListBullet"/>
      </w:pPr>
      <w:r>
        <w:t>User authentication</w:t>
      </w:r>
    </w:p>
    <w:p>
      <w:pPr>
        <w:pStyle w:val="ListBullet"/>
      </w:pPr>
      <w:r>
        <w:t>Traceable evidence references</w:t>
      </w:r>
    </w:p>
    <w:p>
      <w:pPr>
        <w:pStyle w:val="Heading2"/>
      </w:pPr>
      <w:r>
        <w:t>9. Security &amp; Audit.1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9. Security &amp; Audit.2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9. Security &amp; Audit.3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9. Security &amp; Audit.4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9. Security &amp; Audit.5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1"/>
      </w:pPr>
      <w:r>
        <w:t>10. Validation Strategy</w:t>
      </w:r>
    </w:p>
    <w:p>
      <w:pPr>
        <w:pStyle w:val="ListBullet"/>
      </w:pPr>
      <w:r>
        <w:t>Unit testing</w:t>
      </w:r>
    </w:p>
    <w:p>
      <w:pPr>
        <w:pStyle w:val="ListBullet"/>
      </w:pPr>
      <w:r>
        <w:t>Scenario testing</w:t>
      </w:r>
    </w:p>
    <w:p>
      <w:pPr>
        <w:pStyle w:val="ListBullet"/>
      </w:pPr>
      <w:r>
        <w:t>Regression testing</w:t>
      </w:r>
    </w:p>
    <w:p>
      <w:pPr>
        <w:pStyle w:val="ListBullet"/>
      </w:pPr>
      <w:r>
        <w:t>Expert review</w:t>
      </w:r>
    </w:p>
    <w:p>
      <w:pPr>
        <w:pStyle w:val="ListBullet"/>
      </w:pPr>
      <w:r>
        <w:t>Periodic regulatory updates</w:t>
      </w:r>
    </w:p>
    <w:p>
      <w:pPr>
        <w:pStyle w:val="Heading2"/>
      </w:pPr>
      <w:r>
        <w:t>10. Validation Strategy.1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10. Validation Strategy.2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10. Validation Strategy.3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10. Validation Strategy.4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2"/>
      </w:pPr>
      <w:r>
        <w:t>10. Validation Strategy.5 Detailed Design</w:t>
      </w:r>
    </w:p>
    <w:p>
      <w:r>
        <w:t>Objective: Describe how the agent performs this function in a deterministic, traceable manner.</w:t>
      </w:r>
    </w:p>
    <w:p>
      <w:r>
        <w:t>Inputs: Structured data, supporting documents, regulatory references and user-defined assumptions.</w:t>
      </w:r>
    </w:p>
    <w:p>
      <w:r>
        <w:t>Processing Logic: The agent validates completeness, performs rule-based checks, applies weighted scoring and records every assumption.</w:t>
      </w:r>
    </w:p>
    <w:p>
      <w:r>
        <w:t>Outputs: Structured findings, confidence scores, identified risks, recommended mitigations and supporting rationale.</w:t>
      </w:r>
    </w:p>
    <w:p>
      <w:r>
        <w:t>Quality Controls: Completeness checks, contradiction detection, source validation, uncertainty flagging and audit logging.</w:t>
      </w:r>
    </w:p>
    <w:p>
      <w:r>
        <w:t>Escalation: Where confidence falls below threshold or mandatory evidence is absent, the agent requests additional information rather than inferring facts.</w:t>
      </w:r>
    </w:p>
    <w:p>
      <w:pPr>
        <w:pStyle w:val="Heading1"/>
      </w:pPr>
      <w:r>
        <w:t>Appendix 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FR-01-01</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FR-01-02</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FR-01-03</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FR-01-04</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FR-01-05</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FR-01-06</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FR-01-07</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FR-01-08</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bl>
    <w:p>
      <w:r>
        <w:t>Design Notes: The implementation should expose configurable weighting factors, maintain complete provenance of evidence, support periodic knowledge-base updates, and preserve previous assessment versions for auditability. The architecture should separate deterministic rule engines from LLM reasoning, ensuring that critical regulatory decisions remain explainable.</w:t>
      </w:r>
    </w:p>
    <w:p>
      <w:pPr>
        <w:pStyle w:val="Heading1"/>
      </w:pPr>
      <w:r>
        <w:t>Appendix 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FR-02-01</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FR-02-02</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FR-02-03</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FR-02-04</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FR-02-05</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FR-02-06</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FR-02-07</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FR-02-08</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bl>
    <w:p>
      <w:r>
        <w:t>Design Notes: The implementation should expose configurable weighting factors, maintain complete provenance of evidence, support periodic knowledge-base updates, and preserve previous assessment versions for auditability. The architecture should separate deterministic rule engines from LLM reasoning, ensuring that critical regulatory decisions remain explainable.</w:t>
      </w:r>
    </w:p>
    <w:p>
      <w:pPr>
        <w:pStyle w:val="Heading1"/>
      </w:pPr>
      <w:r>
        <w:t>Appendix 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FR-03-01</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FR-03-02</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FR-03-03</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FR-03-04</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FR-03-05</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FR-03-06</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FR-03-07</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FR-03-08</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bl>
    <w:p>
      <w:r>
        <w:t>Design Notes: The implementation should expose configurable weighting factors, maintain complete provenance of evidence, support periodic knowledge-base updates, and preserve previous assessment versions for auditability. The architecture should separate deterministic rule engines from LLM reasoning, ensuring that critical regulatory decisions remain explainable.</w:t>
      </w:r>
    </w:p>
    <w:p>
      <w:pPr>
        <w:pStyle w:val="Heading1"/>
      </w:pPr>
      <w:r>
        <w:t>Appendix 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FR-04-01</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FR-04-02</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FR-04-03</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FR-04-04</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FR-04-05</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FR-04-06</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FR-04-07</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FR-04-08</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bl>
    <w:p>
      <w:r>
        <w:t>Design Notes: The implementation should expose configurable weighting factors, maintain complete provenance of evidence, support periodic knowledge-base updates, and preserve previous assessment versions for auditability. The architecture should separate deterministic rule engines from LLM reasoning, ensuring that critical regulatory decisions remain explainable.</w:t>
      </w:r>
    </w:p>
    <w:p>
      <w:pPr>
        <w:pStyle w:val="Heading1"/>
      </w:pPr>
      <w:r>
        <w:t>Appendix 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FR-05-01</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FR-05-02</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FR-05-03</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FR-05-04</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FR-05-05</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FR-05-06</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FR-05-07</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FR-05-08</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bl>
    <w:p>
      <w:r>
        <w:t>Design Notes: The implementation should expose configurable weighting factors, maintain complete provenance of evidence, support periodic knowledge-base updates, and preserve previous assessment versions for auditability. The architecture should separate deterministic rule engines from LLM reasoning, ensuring that critical regulatory decisions remain explainable.</w:t>
      </w:r>
    </w:p>
    <w:p>
      <w:pPr>
        <w:pStyle w:val="Heading1"/>
      </w:pPr>
      <w:r>
        <w:t>Appendix 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FR-06-01</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FR-06-02</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FR-06-03</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FR-06-04</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FR-06-05</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FR-06-06</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FR-06-07</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FR-06-08</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bl>
    <w:p>
      <w:r>
        <w:t>Design Notes: The implementation should expose configurable weighting factors, maintain complete provenance of evidence, support periodic knowledge-base updates, and preserve previous assessment versions for auditability. The architecture should separate deterministic rule engines from LLM reasoning, ensuring that critical regulatory decisions remain explainable.</w:t>
      </w:r>
    </w:p>
    <w:p>
      <w:pPr>
        <w:pStyle w:val="Heading1"/>
      </w:pPr>
      <w:r>
        <w:t>Appendix 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FR-07-01</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FR-07-02</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FR-07-03</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FR-07-04</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FR-07-05</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FR-07-06</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FR-07-07</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FR-07-08</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bl>
    <w:p>
      <w:r>
        <w:t>Design Notes: The implementation should expose configurable weighting factors, maintain complete provenance of evidence, support periodic knowledge-base updates, and preserve previous assessment versions for auditability. The architecture should separate deterministic rule engines from LLM reasoning, ensuring that critical regulatory decisions remain explainable.</w:t>
      </w:r>
    </w:p>
    <w:p>
      <w:pPr>
        <w:pStyle w:val="Heading1"/>
      </w:pPr>
      <w:r>
        <w:t>Appendix 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FR-08-01</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FR-08-02</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FR-08-03</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FR-08-04</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FR-08-05</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FR-08-06</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FR-08-07</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FR-08-08</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bl>
    <w:p>
      <w:r>
        <w:t>Design Notes: The implementation should expose configurable weighting factors, maintain complete provenance of evidence, support periodic knowledge-base updates, and preserve previous assessment versions for auditability. The architecture should separate deterministic rule engines from LLM reasoning, ensuring that critical regulatory decisions remain explainable.</w:t>
      </w:r>
    </w:p>
    <w:p>
      <w:pPr>
        <w:pStyle w:val="Heading1"/>
      </w:pPr>
      <w:r>
        <w:t>Appendix 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FR-09-01</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FR-09-02</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FR-09-03</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FR-09-04</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FR-09-05</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FR-09-06</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FR-09-07</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FR-09-08</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bl>
    <w:p>
      <w:r>
        <w:t>Design Notes: The implementation should expose configurable weighting factors, maintain complete provenance of evidence, support periodic knowledge-base updates, and preserve previous assessment versions for auditability. The architecture should separate deterministic rule engines from LLM reasoning, ensuring that critical regulatory decisions remain explainable.</w:t>
      </w:r>
    </w:p>
    <w:p>
      <w:pPr>
        <w:pStyle w:val="Heading1"/>
      </w:pPr>
      <w:r>
        <w:t>Appendix 10: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FR-10-01</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FR-10-02</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FR-10-03</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FR-10-04</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FR-10-05</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FR-10-06</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FR-10-07</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FR-10-08</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bl>
    <w:p>
      <w:r>
        <w:t>Design Notes: The implementation should expose configurable weighting factors, maintain complete provenance of evidence, support periodic knowledge-base updates, and preserve previous assessment versions for auditability. The architecture should separate deterministic rule engines from LLM reasoning, ensuring that critical regulatory decisions remain explainable.</w:t>
      </w:r>
    </w:p>
    <w:p>
      <w:pPr>
        <w:pStyle w:val="Heading1"/>
      </w:pPr>
      <w:r>
        <w:t>Appendix 11: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FR-11-01</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FR-11-02</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FR-11-03</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FR-11-04</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FR-11-05</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FR-11-06</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FR-11-07</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FR-11-08</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bl>
    <w:p>
      <w:r>
        <w:t>Design Notes: The implementation should expose configurable weighting factors, maintain complete provenance of evidence, support periodic knowledge-base updates, and preserve previous assessment versions for auditability. The architecture should separate deterministic rule engines from LLM reasoning, ensuring that critical regulatory decisions remain explainable.</w:t>
      </w:r>
    </w:p>
    <w:p>
      <w:pPr>
        <w:pStyle w:val="Heading1"/>
      </w:pPr>
      <w:r>
        <w:t>Appendix 12: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FR-12-01</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FR-12-02</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FR-12-03</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FR-12-04</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FR-12-05</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FR-12-06</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FR-12-07</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FR-12-08</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bl>
    <w:p>
      <w:r>
        <w:t>Design Notes: The implementation should expose configurable weighting factors, maintain complete provenance of evidence, support periodic knowledge-base updates, and preserve previous assessment versions for auditability. The architecture should separate deterministic rule engines from LLM reasoning, ensuring that critical regulatory decisions remain explainable.</w:t>
      </w:r>
    </w:p>
    <w:p>
      <w:pPr>
        <w:pStyle w:val="Heading1"/>
      </w:pPr>
      <w:r>
        <w:t>Appendix 13: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FR-13-01</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FR-13-02</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FR-13-03</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FR-13-04</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FR-13-05</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FR-13-06</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FR-13-07</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FR-13-08</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bl>
    <w:p>
      <w:r>
        <w:t>Design Notes: The implementation should expose configurable weighting factors, maintain complete provenance of evidence, support periodic knowledge-base updates, and preserve previous assessment versions for auditability. The architecture should separate deterministic rule engines from LLM reasoning, ensuring that critical regulatory decisions remain explainable.</w:t>
      </w:r>
    </w:p>
    <w:p>
      <w:pPr>
        <w:pStyle w:val="Heading1"/>
      </w:pPr>
      <w:r>
        <w:t>Appendix 14: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FR-14-01</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FR-14-02</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FR-14-03</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FR-14-04</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FR-14-05</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FR-14-06</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FR-14-07</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FR-14-08</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bl>
    <w:p>
      <w:r>
        <w:t>Design Notes: The implementation should expose configurable weighting factors, maintain complete provenance of evidence, support periodic knowledge-base updates, and preserve previous assessment versions for auditability. The architecture should separate deterministic rule engines from LLM reasoning, ensuring that critical regulatory decisions remain explainable.</w:t>
      </w:r>
    </w:p>
    <w:p>
      <w:pPr>
        <w:pStyle w:val="Heading1"/>
      </w:pPr>
      <w:r>
        <w:t>Appendix 15: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FR-15-01</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FR-15-02</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FR-15-03</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FR-15-04</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FR-15-05</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FR-15-06</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FR-15-07</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FR-15-08</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bl>
    <w:p>
      <w:r>
        <w:t>Design Notes: The implementation should expose configurable weighting factors, maintain complete provenance of evidence, support periodic knowledge-base updates, and preserve previous assessment versions for auditability. The architecture should separate deterministic rule engines from LLM reasoning, ensuring that critical regulatory decisions remain explainable.</w:t>
      </w:r>
    </w:p>
    <w:p>
      <w:pPr>
        <w:pStyle w:val="Heading1"/>
      </w:pPr>
      <w:r>
        <w:t>Appendix 16: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FR-16-01</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FR-16-02</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FR-16-03</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FR-16-04</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FR-16-05</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FR-16-06</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FR-16-07</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FR-16-08</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bl>
    <w:p>
      <w:r>
        <w:t>Design Notes: The implementation should expose configurable weighting factors, maintain complete provenance of evidence, support periodic knowledge-base updates, and preserve previous assessment versions for auditability. The architecture should separate deterministic rule engines from LLM reasoning, ensuring that critical regulatory decisions remain explainable.</w:t>
      </w:r>
    </w:p>
    <w:p>
      <w:pPr>
        <w:pStyle w:val="Heading1"/>
      </w:pPr>
      <w:r>
        <w:t>Appendix 17: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FR-17-01</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FR-17-02</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FR-17-03</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FR-17-04</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FR-17-05</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FR-17-06</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FR-17-07</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FR-17-08</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bl>
    <w:p>
      <w:r>
        <w:t>Design Notes: The implementation should expose configurable weighting factors, maintain complete provenance of evidence, support periodic knowledge-base updates, and preserve previous assessment versions for auditability. The architecture should separate deterministic rule engines from LLM reasoning, ensuring that critical regulatory decisions remain explainable.</w:t>
      </w:r>
    </w:p>
    <w:p>
      <w:pPr>
        <w:pStyle w:val="Heading1"/>
      </w:pPr>
      <w:r>
        <w:t>Appendix 18: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FR-18-01</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FR-18-02</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FR-18-03</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FR-18-04</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FR-18-05</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FR-18-06</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FR-18-07</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FR-18-08</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bl>
    <w:p>
      <w:r>
        <w:t>Design Notes: The implementation should expose configurable weighting factors, maintain complete provenance of evidence, support periodic knowledge-base updates, and preserve previous assessment versions for auditability. The architecture should separate deterministic rule engines from LLM reasoning, ensuring that critical regulatory decisions remain explainable.</w:t>
      </w:r>
    </w:p>
    <w:p>
      <w:pPr>
        <w:pStyle w:val="Heading1"/>
      </w:pPr>
      <w:r>
        <w:t>Appendix 19: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FR-19-01</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FR-19-02</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FR-19-03</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FR-19-04</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FR-19-05</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FR-19-06</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FR-19-07</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FR-19-08</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bl>
    <w:p>
      <w:r>
        <w:t>Design Notes: The implementation should expose configurable weighting factors, maintain complete provenance of evidence, support periodic knowledge-base updates, and preserve previous assessment versions for auditability. The architecture should separate deterministic rule engines from LLM reasoning, ensuring that critical regulatory decisions remain explainable.</w:t>
      </w:r>
    </w:p>
    <w:p>
      <w:pPr>
        <w:pStyle w:val="Heading1"/>
      </w:pPr>
      <w:r>
        <w:t>Appendix 20: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FR-20-01</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FR-20-02</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FR-20-03</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FR-20-04</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FR-20-05</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FR-20-06</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FR-20-07</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FR-20-08</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bl>
    <w:p>
      <w:r>
        <w:t>Design Notes: The implementation should expose configurable weighting factors, maintain complete provenance of evidence, support periodic knowledge-base updates, and preserve previous assessment versions for auditability. The architecture should separate deterministic rule engines from LLM reasoning, ensuring that critical regulatory decisions remain explainable.</w:t>
      </w:r>
    </w:p>
    <w:p>
      <w:pPr>
        <w:pStyle w:val="Heading1"/>
      </w:pPr>
      <w:r>
        <w:t>Appendix 21: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FR-21-01</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FR-21-02</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FR-21-03</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FR-21-04</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FR-21-05</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FR-21-06</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FR-21-07</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FR-21-08</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bl>
    <w:p>
      <w:r>
        <w:t>Design Notes: The implementation should expose configurable weighting factors, maintain complete provenance of evidence, support periodic knowledge-base updates, and preserve previous assessment versions for auditability. The architecture should separate deterministic rule engines from LLM reasoning, ensuring that critical regulatory decisions remain explainable.</w:t>
      </w:r>
    </w:p>
    <w:p>
      <w:pPr>
        <w:pStyle w:val="Heading1"/>
      </w:pPr>
      <w:r>
        <w:t>Appendix 22: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FR-22-01</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FR-22-02</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FR-22-03</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FR-22-04</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FR-22-05</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FR-22-06</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FR-22-07</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FR-22-08</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bl>
    <w:p>
      <w:r>
        <w:t>Design Notes: The implementation should expose configurable weighting factors, maintain complete provenance of evidence, support periodic knowledge-base updates, and preserve previous assessment versions for auditability. The architecture should separate deterministic rule engines from LLM reasoning, ensuring that critical regulatory decisions remain explainable.</w:t>
      </w:r>
    </w:p>
    <w:p>
      <w:pPr>
        <w:pStyle w:val="Heading1"/>
      </w:pPr>
      <w:r>
        <w:t>Appendix 23: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FR-23-01</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FR-23-02</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FR-23-03</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FR-23-04</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FR-23-05</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FR-23-06</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FR-23-07</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FR-23-08</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bl>
    <w:p>
      <w:r>
        <w:t>Design Notes: The implementation should expose configurable weighting factors, maintain complete provenance of evidence, support periodic knowledge-base updates, and preserve previous assessment versions for auditability. The architecture should separate deterministic rule engines from LLM reasoning, ensuring that critical regulatory decisions remain explainable.</w:t>
      </w:r>
    </w:p>
    <w:p>
      <w:pPr>
        <w:pStyle w:val="Heading1"/>
      </w:pPr>
      <w:r>
        <w:t>Appendix 24: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FR-24-01</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FR-24-02</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FR-24-03</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FR-24-04</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FR-24-05</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FR-24-06</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FR-24-07</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FR-24-08</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bl>
    <w:p>
      <w:r>
        <w:t>Design Notes: The implementation should expose configurable weighting factors, maintain complete provenance of evidence, support periodic knowledge-base updates, and preserve previous assessment versions for auditability. The architecture should separate deterministic rule engines from LLM reasoning, ensuring that critical regulatory decisions remain explainable.</w:t>
      </w:r>
    </w:p>
    <w:p>
      <w:pPr>
        <w:pStyle w:val="Heading1"/>
      </w:pPr>
      <w:r>
        <w:t>Appendix 25: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FR-25-01</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FR-25-02</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FR-25-03</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FR-25-04</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FR-25-05</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FR-25-06</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FR-25-07</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FR-25-08</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bl>
    <w:p>
      <w:r>
        <w:t>Design Notes: The implementation should expose configurable weighting factors, maintain complete provenance of evidence, support periodic knowledge-base updates, and preserve previous assessment versions for auditability. The architecture should separate deterministic rule engines from LLM reasoning, ensuring that critical regulatory decisions remain explainable.</w:t>
      </w:r>
    </w:p>
    <w:p>
      <w:pPr>
        <w:pStyle w:val="Heading1"/>
      </w:pPr>
      <w:r>
        <w:t>Appendix 26: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FR-26-01</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FR-26-02</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FR-26-03</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FR-26-04</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FR-26-05</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FR-26-06</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FR-26-07</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FR-26-08</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bl>
    <w:p>
      <w:r>
        <w:t>Design Notes: The implementation should expose configurable weighting factors, maintain complete provenance of evidence, support periodic knowledge-base updates, and preserve previous assessment versions for auditability. The architecture should separate deterministic rule engines from LLM reasoning, ensuring that critical regulatory decisions remain explainable.</w:t>
      </w:r>
    </w:p>
    <w:p>
      <w:pPr>
        <w:pStyle w:val="Heading1"/>
      </w:pPr>
      <w:r>
        <w:t>Appendix 27: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FR-27-01</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FR-27-02</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FR-27-03</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FR-27-04</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FR-27-05</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FR-27-06</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FR-27-07</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FR-27-08</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bl>
    <w:p>
      <w:r>
        <w:t>Design Notes: The implementation should expose configurable weighting factors, maintain complete provenance of evidence, support periodic knowledge-base updates, and preserve previous assessment versions for auditability. The architecture should separate deterministic rule engines from LLM reasoning, ensuring that critical regulatory decisions remain explainable.</w:t>
      </w:r>
    </w:p>
    <w:p>
      <w:pPr>
        <w:pStyle w:val="Heading1"/>
      </w:pPr>
      <w:r>
        <w:t>Appendix 28: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FR-28-01</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FR-28-02</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FR-28-03</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FR-28-04</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FR-28-05</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FR-28-06</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FR-28-07</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FR-28-08</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bl>
    <w:p>
      <w:r>
        <w:t>Design Notes: The implementation should expose configurable weighting factors, maintain complete provenance of evidence, support periodic knowledge-base updates, and preserve previous assessment versions for auditability. The architecture should separate deterministic rule engines from LLM reasoning, ensuring that critical regulatory decisions remain explainable.</w:t>
      </w:r>
    </w:p>
    <w:p>
      <w:pPr>
        <w:pStyle w:val="Heading1"/>
      </w:pPr>
      <w:r>
        <w:t>Appendix 29: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FR-29-01</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FR-29-02</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FR-29-03</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FR-29-04</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FR-29-05</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FR-29-06</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FR-29-07</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FR-29-08</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bl>
    <w:p>
      <w:r>
        <w:t>Design Notes: The implementation should expose configurable weighting factors, maintain complete provenance of evidence, support periodic knowledge-base updates, and preserve previous assessment versions for auditability. The architecture should separate deterministic rule engines from LLM reasoning, ensuring that critical regulatory decisions remain explainable.</w:t>
      </w:r>
    </w:p>
    <w:p>
      <w:pPr>
        <w:pStyle w:val="Heading1"/>
      </w:pPr>
      <w:r>
        <w:t>Appendix 30: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FR-30-01</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FR-30-02</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FR-30-03</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FR-30-04</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FR-30-05</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FR-30-06</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FR-30-07</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r>
        <w:tc>
          <w:tcPr>
            <w:tcW w:type="dxa" w:w="2160"/>
          </w:tcPr>
          <w:p>
            <w:r>
              <w:t>FR-30-08</w:t>
            </w:r>
          </w:p>
        </w:tc>
        <w:tc>
          <w:tcPr>
            <w:tcW w:type="dxa" w:w="2160"/>
          </w:tcPr>
          <w:p>
            <w:r>
              <w:t>Agent shall perform documented, traceable portfolio assessment using validated inputs and regulatory references.</w:t>
            </w:r>
          </w:p>
        </w:tc>
        <w:tc>
          <w:tcPr>
            <w:tcW w:type="dxa" w:w="2160"/>
          </w:tcPr>
          <w:p>
            <w:r>
              <w:t>Output reproducible and fully auditable.</w:t>
            </w:r>
          </w:p>
        </w:tc>
        <w:tc>
          <w:tcPr>
            <w:tcW w:type="dxa" w:w="2160"/>
          </w:tcPr>
          <w:p>
            <w:r>
              <w:t>High</w:t>
            </w:r>
          </w:p>
        </w:tc>
      </w:tr>
    </w:tbl>
    <w:p>
      <w:r>
        <w:t>Design Notes: The implementation should expose configurable weighting factors, maintain complete provenance of evidence, support periodic knowledge-base updates, and preserve previous assessment versions for auditability. The architecture should separate deterministic rule engines from LLM reasoning, ensuring that critical regulatory decisions remain explainable.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