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Specification (SDS)</w:t>
        <w:br/>
        <w:t>AI Agent – Fill Formulation Expert</w:t>
        <w:br/>
        <w:t>Version 1.0</w:t>
      </w:r>
    </w:p>
    <w:p>
      <w:r>
        <w:t>This Software Design Specification defines the AI Fill Formulation Expert for generic oral soft gelatin capsule development. The agent is responsible for the scientific design, optimisation and lifecycle management of the liquid, semi-solid or suspension fill formulation. It ensures that the fill composition is compatible with the capsule shell, achieves the Quality Target Product Profile (QTPP), supports bioequivalence, is manufacturable at commercial scale and complies with FDA, EMA, ICH and EU GMP requirements.</w:t>
      </w:r>
    </w:p>
    <w:p>
      <w:pPr>
        <w:pStyle w:val="Heading1"/>
      </w:pPr>
      <w:r>
        <w:t>1. Purpose</w:t>
      </w:r>
    </w:p>
    <w:p>
      <w:pPr>
        <w:pStyle w:val="ListBullet"/>
      </w:pPr>
      <w:r>
        <w:t>Design scientifically robust fill formulations.</w:t>
      </w:r>
    </w:p>
    <w:p>
      <w:pPr>
        <w:pStyle w:val="ListBullet"/>
      </w:pPr>
      <w:r>
        <w:t>Optimise solubility, stability and manufacturability.</w:t>
      </w:r>
    </w:p>
    <w:p>
      <w:pPr>
        <w:pStyle w:val="ListBullet"/>
      </w:pPr>
      <w:r>
        <w:t>Support rapid development of bioequivalent generic softgel products.</w:t>
      </w:r>
    </w:p>
    <w:p>
      <w:pPr>
        <w:pStyle w:val="Heading2"/>
      </w:pPr>
      <w:r>
        <w:t>1. Purpose.1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1. Purpose.2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1. Purpose.3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1. Purpose.4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1. Purpose.5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1"/>
      </w:pPr>
      <w:r>
        <w:t>2. Scope</w:t>
      </w:r>
    </w:p>
    <w:p>
      <w:pPr>
        <w:pStyle w:val="ListBullet"/>
      </w:pPr>
      <w:r>
        <w:t>Applies from pre-formulation through commercial manufacture and post-approval lifecycle management.</w:t>
      </w:r>
    </w:p>
    <w:p>
      <w:pPr>
        <w:pStyle w:val="ListBullet"/>
      </w:pPr>
      <w:r>
        <w:t>Interfaces with QTPP, QbD, Product Development, Excipient Selection, Shell Formulation, Analytical Development, Manufacturing, Stability, QA, QC and Regulatory AI agents.</w:t>
      </w:r>
    </w:p>
    <w:p>
      <w:pPr>
        <w:pStyle w:val="Heading2"/>
      </w:pPr>
      <w:r>
        <w:t>2. Scope.1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2. Scope.2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2. Scope.3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2. Scope.4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2. Scope.5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1"/>
      </w:pPr>
      <w:r>
        <w:t>3. Core Responsibilities</w:t>
      </w:r>
    </w:p>
    <w:p>
      <w:pPr>
        <w:pStyle w:val="ListBullet"/>
      </w:pPr>
      <w:r>
        <w:t>Characterise API physicochemical properties.</w:t>
      </w:r>
    </w:p>
    <w:p>
      <w:pPr>
        <w:pStyle w:val="ListBullet"/>
      </w:pPr>
      <w:r>
        <w:t>Determine solution, suspension or semi-solid formulation strategy.</w:t>
      </w:r>
    </w:p>
    <w:p>
      <w:pPr>
        <w:pStyle w:val="ListBullet"/>
      </w:pPr>
      <w:r>
        <w:t>Select oils, solvents, co-solvents and surfactants.</w:t>
      </w:r>
    </w:p>
    <w:p>
      <w:pPr>
        <w:pStyle w:val="ListBullet"/>
      </w:pPr>
      <w:r>
        <w:t>Optimise lipid systems and self-emulsifying formulations where appropriate.</w:t>
      </w:r>
    </w:p>
    <w:p>
      <w:pPr>
        <w:pStyle w:val="ListBullet"/>
      </w:pPr>
      <w:r>
        <w:t>Control viscosity, density and rheology.</w:t>
      </w:r>
    </w:p>
    <w:p>
      <w:pPr>
        <w:pStyle w:val="ListBullet"/>
      </w:pPr>
      <w:r>
        <w:t>Predict precipitation and crystallisation risks.</w:t>
      </w:r>
    </w:p>
    <w:p>
      <w:pPr>
        <w:pStyle w:val="ListBullet"/>
      </w:pPr>
      <w:r>
        <w:t>Optimise dose uniformity and content uniformity.</w:t>
      </w:r>
    </w:p>
    <w:p>
      <w:pPr>
        <w:pStyle w:val="ListBullet"/>
      </w:pPr>
      <w:r>
        <w:t>Ensure shell compatibility.</w:t>
      </w:r>
    </w:p>
    <w:p>
      <w:pPr>
        <w:pStyle w:val="ListBullet"/>
      </w:pPr>
      <w:r>
        <w:t>Support scale-up and technology transfer.</w:t>
      </w:r>
    </w:p>
    <w:p>
      <w:pPr>
        <w:pStyle w:val="Heading2"/>
      </w:pPr>
      <w:r>
        <w:t>3. Core Responsibilities.1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3. Core Responsibilities.2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3. Core Responsibilities.3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3. Core Responsibilities.4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3. Core Responsibilities.5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1"/>
      </w:pPr>
      <w:r>
        <w:t>4. Scientific Knowledge Base</w:t>
      </w:r>
    </w:p>
    <w:p>
      <w:pPr>
        <w:pStyle w:val="ListBullet"/>
      </w:pPr>
      <w:r>
        <w:t>API physicochemistry (BCS, pKa, LogP, polymorphism, hygroscopicity).</w:t>
      </w:r>
    </w:p>
    <w:p>
      <w:pPr>
        <w:pStyle w:val="ListBullet"/>
      </w:pPr>
      <w:r>
        <w:t>Lipid formulation science.</w:t>
      </w:r>
    </w:p>
    <w:p>
      <w:pPr>
        <w:pStyle w:val="ListBullet"/>
      </w:pPr>
      <w:r>
        <w:t>SEDDS/SMEDDS principles.</w:t>
      </w:r>
    </w:p>
    <w:p>
      <w:pPr>
        <w:pStyle w:val="ListBullet"/>
      </w:pPr>
      <w:r>
        <w:t>Solvent and co-solvent systems.</w:t>
      </w:r>
    </w:p>
    <w:p>
      <w:pPr>
        <w:pStyle w:val="ListBullet"/>
      </w:pPr>
      <w:r>
        <w:t>Suspension technology.</w:t>
      </w:r>
    </w:p>
    <w:p>
      <w:pPr>
        <w:pStyle w:val="ListBullet"/>
      </w:pPr>
      <w:r>
        <w:t>Oxidation and hydrolysis mechanisms.</w:t>
      </w:r>
    </w:p>
    <w:p>
      <w:pPr>
        <w:pStyle w:val="ListBullet"/>
      </w:pPr>
      <w:r>
        <w:t>ICH Q8–Q12, FDA 21 CFR Parts 210/211, EU GMP.</w:t>
      </w:r>
    </w:p>
    <w:p>
      <w:pPr>
        <w:pStyle w:val="ListBullet"/>
      </w:pPr>
      <w:r>
        <w:t>USP, Ph. Eur. and BP.</w:t>
      </w:r>
    </w:p>
    <w:p>
      <w:pPr>
        <w:pStyle w:val="Heading2"/>
      </w:pPr>
      <w:r>
        <w:t>4. Scientific Knowledge Base.1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4. Scientific Knowledge Base.2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4. Scientific Knowledge Base.3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4. Scientific Knowledge Base.4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4. Scientific Knowledge Base.5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1"/>
      </w:pPr>
      <w:r>
        <w:t>5. Required Inputs</w:t>
      </w:r>
    </w:p>
    <w:p>
      <w:pPr>
        <w:pStyle w:val="ListBullet"/>
      </w:pPr>
      <w:r>
        <w:t>Approved QTPP.</w:t>
      </w:r>
    </w:p>
    <w:p>
      <w:pPr>
        <w:pStyle w:val="ListBullet"/>
      </w:pPr>
      <w:r>
        <w:t>API properties and target dose.</w:t>
      </w:r>
    </w:p>
    <w:p>
      <w:pPr>
        <w:pStyle w:val="ListBullet"/>
      </w:pPr>
      <w:r>
        <w:t>Target dissolution profile.</w:t>
      </w:r>
    </w:p>
    <w:p>
      <w:pPr>
        <w:pStyle w:val="ListBullet"/>
      </w:pPr>
      <w:r>
        <w:t>Bioequivalence objectives.</w:t>
      </w:r>
    </w:p>
    <w:p>
      <w:pPr>
        <w:pStyle w:val="ListBullet"/>
      </w:pPr>
      <w:r>
        <w:t>Excipient database.</w:t>
      </w:r>
    </w:p>
    <w:p>
      <w:pPr>
        <w:pStyle w:val="ListBullet"/>
      </w:pPr>
      <w:r>
        <w:t>Shell formulation.</w:t>
      </w:r>
    </w:p>
    <w:p>
      <w:pPr>
        <w:pStyle w:val="ListBullet"/>
      </w:pPr>
      <w:r>
        <w:t>Manufacturing equipment capability.</w:t>
      </w:r>
    </w:p>
    <w:p>
      <w:pPr>
        <w:pStyle w:val="ListBullet"/>
      </w:pPr>
      <w:r>
        <w:t>Packaging and stability requirements.</w:t>
      </w:r>
    </w:p>
    <w:p>
      <w:pPr>
        <w:pStyle w:val="Heading2"/>
      </w:pPr>
      <w:r>
        <w:t>5. Required Inputs.1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5. Required Inputs.2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5. Required Inputs.3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5. Required Inputs.4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5. Required Inputs.5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1"/>
      </w:pPr>
      <w:r>
        <w:t>6. Primary Outputs</w:t>
      </w:r>
    </w:p>
    <w:p>
      <w:pPr>
        <w:pStyle w:val="ListBullet"/>
      </w:pPr>
      <w:r>
        <w:t>Recommended fill formulation.</w:t>
      </w:r>
    </w:p>
    <w:p>
      <w:pPr>
        <w:pStyle w:val="ListBullet"/>
      </w:pPr>
      <w:r>
        <w:t>Scientific justification report.</w:t>
      </w:r>
    </w:p>
    <w:p>
      <w:pPr>
        <w:pStyle w:val="ListBullet"/>
      </w:pPr>
      <w:r>
        <w:t>Excipient composition.</w:t>
      </w:r>
    </w:p>
    <w:p>
      <w:pPr>
        <w:pStyle w:val="ListBullet"/>
      </w:pPr>
      <w:r>
        <w:t>Critical formulation parameters.</w:t>
      </w:r>
    </w:p>
    <w:p>
      <w:pPr>
        <w:pStyle w:val="ListBullet"/>
      </w:pPr>
      <w:r>
        <w:t>Compatibility assessment.</w:t>
      </w:r>
    </w:p>
    <w:p>
      <w:pPr>
        <w:pStyle w:val="ListBullet"/>
      </w:pPr>
      <w:r>
        <w:t>Risk assessment.</w:t>
      </w:r>
    </w:p>
    <w:p>
      <w:pPr>
        <w:pStyle w:val="ListBullet"/>
      </w:pPr>
      <w:r>
        <w:t>Technology transfer recommendations.</w:t>
      </w:r>
    </w:p>
    <w:p>
      <w:pPr>
        <w:pStyle w:val="Heading2"/>
      </w:pPr>
      <w:r>
        <w:t>6. Primary Outputs.1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6. Primary Outputs.2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6. Primary Outputs.3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6. Primary Outputs.4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6. Primary Outputs.5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1"/>
      </w:pPr>
      <w:r>
        <w:t>7. Quality Controls</w:t>
      </w:r>
    </w:p>
    <w:p>
      <w:pPr>
        <w:pStyle w:val="ListBullet"/>
      </w:pPr>
      <w:r>
        <w:t>Mass balance verification.</w:t>
      </w:r>
    </w:p>
    <w:p>
      <w:pPr>
        <w:pStyle w:val="ListBullet"/>
      </w:pPr>
      <w:r>
        <w:t>API concentration verification.</w:t>
      </w:r>
    </w:p>
    <w:p>
      <w:pPr>
        <w:pStyle w:val="ListBullet"/>
      </w:pPr>
      <w:r>
        <w:t>Solubility verification.</w:t>
      </w:r>
    </w:p>
    <w:p>
      <w:pPr>
        <w:pStyle w:val="ListBullet"/>
      </w:pPr>
      <w:r>
        <w:t>Compatibility verification.</w:t>
      </w:r>
    </w:p>
    <w:p>
      <w:pPr>
        <w:pStyle w:val="ListBullet"/>
      </w:pPr>
      <w:r>
        <w:t>Regulatory compliance review.</w:t>
      </w:r>
    </w:p>
    <w:p>
      <w:pPr>
        <w:pStyle w:val="ListBullet"/>
      </w:pPr>
      <w:r>
        <w:t>Traceability and version control.</w:t>
      </w:r>
    </w:p>
    <w:p>
      <w:pPr>
        <w:pStyle w:val="Heading2"/>
      </w:pPr>
      <w:r>
        <w:t>7. Quality Controls.1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7. Quality Controls.2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7. Quality Controls.3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7. Quality Controls.4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7. Quality Controls.5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1"/>
      </w:pPr>
      <w:r>
        <w:t>8. Validation Strategy</w:t>
      </w:r>
    </w:p>
    <w:p>
      <w:pPr>
        <w:pStyle w:val="ListBullet"/>
      </w:pPr>
      <w:r>
        <w:t>Rule-based scientific validation.</w:t>
      </w:r>
    </w:p>
    <w:p>
      <w:pPr>
        <w:pStyle w:val="ListBullet"/>
      </w:pPr>
      <w:r>
        <w:t>Historical formulation benchmarking.</w:t>
      </w:r>
    </w:p>
    <w:p>
      <w:pPr>
        <w:pStyle w:val="ListBullet"/>
      </w:pPr>
      <w:r>
        <w:t>Cross-agent consistency review.</w:t>
      </w:r>
    </w:p>
    <w:p>
      <w:pPr>
        <w:pStyle w:val="ListBullet"/>
      </w:pPr>
      <w:r>
        <w:t>Expert review.</w:t>
      </w:r>
    </w:p>
    <w:p>
      <w:pPr>
        <w:pStyle w:val="ListBullet"/>
      </w:pPr>
      <w:r>
        <w:t>Regression testing.</w:t>
      </w:r>
    </w:p>
    <w:p>
      <w:pPr>
        <w:pStyle w:val="Heading2"/>
      </w:pPr>
      <w:r>
        <w:t>8. Validation Strategy.1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8. Validation Strategy.2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8. Validation Strategy.3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8. Validation Strategy.4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2"/>
      </w:pPr>
      <w:r>
        <w:t>8. Validation Strategy.5 Detailed Design</w:t>
      </w:r>
    </w:p>
    <w:p>
      <w:r>
        <w:t>Objective: Develop fill formulations using deterministic pharmaceutical science supported by evidence-based AI reasoning.</w:t>
      </w:r>
    </w:p>
    <w:p>
      <w:r>
        <w:t>Inputs: API data, formulation objectives, shell composition, manufacturing constraints, analytical and stability data.</w:t>
      </w:r>
    </w:p>
    <w:p>
      <w:r>
        <w:t>Processing: Evaluate formulation options, optimise composition, predict risks, rank alternatives and document scientific rationale.</w:t>
      </w:r>
    </w:p>
    <w:p>
      <w:r>
        <w:t>Outputs: Controlled fill formulation recommendations with confidence scores, supporting evidence and complete traceability.</w:t>
      </w:r>
    </w:p>
    <w:p>
      <w:r>
        <w:t>Quality Assurance: Completeness checks, shell–fill compatibility verification, regulatory alignment, contradiction detection and audit logging.</w:t>
      </w:r>
    </w:p>
    <w:p>
      <w:r>
        <w:t>Escalation: Where experimental evidence is insufficient or predicted risk exceeds predefined thresholds, recommend laboratory confirmation before implementation.</w:t>
      </w:r>
    </w:p>
    <w:p>
      <w:pPr>
        <w:pStyle w:val="Heading1"/>
      </w:pPr>
      <w:r>
        <w:t>Core Functional Modules</w:t>
      </w:r>
    </w:p>
    <w:p>
      <w:pPr>
        <w:pStyle w:val="ListBullet"/>
      </w:pPr>
      <w:r>
        <w:t>API Characterisation</w:t>
      </w:r>
    </w:p>
    <w:p>
      <w:pPr>
        <w:pStyle w:val="ListBullet"/>
      </w:pPr>
      <w:r>
        <w:t>Solution Formulation Design</w:t>
      </w:r>
    </w:p>
    <w:p>
      <w:pPr>
        <w:pStyle w:val="ListBullet"/>
      </w:pPr>
      <w:r>
        <w:t>Suspension Formulation Design</w:t>
      </w:r>
    </w:p>
    <w:p>
      <w:pPr>
        <w:pStyle w:val="ListBullet"/>
      </w:pPr>
      <w:r>
        <w:t>Semi-solid Formulation Design</w:t>
      </w:r>
    </w:p>
    <w:p>
      <w:pPr>
        <w:pStyle w:val="ListBullet"/>
      </w:pPr>
      <w:r>
        <w:t>Lipid Vehicle Selection</w:t>
      </w:r>
    </w:p>
    <w:p>
      <w:pPr>
        <w:pStyle w:val="ListBullet"/>
      </w:pPr>
      <w:r>
        <w:t>Solvent &amp; Co-solvent Optimisation</w:t>
      </w:r>
    </w:p>
    <w:p>
      <w:pPr>
        <w:pStyle w:val="ListBullet"/>
      </w:pPr>
      <w:r>
        <w:t>Surfactant Selection</w:t>
      </w:r>
    </w:p>
    <w:p>
      <w:pPr>
        <w:pStyle w:val="ListBullet"/>
      </w:pPr>
      <w:r>
        <w:t>SEDDS/SMEDDS Assessment</w:t>
      </w:r>
    </w:p>
    <w:p>
      <w:pPr>
        <w:pStyle w:val="ListBullet"/>
      </w:pPr>
      <w:r>
        <w:t>Viscosity &amp; Rheology Optimisation</w:t>
      </w:r>
    </w:p>
    <w:p>
      <w:pPr>
        <w:pStyle w:val="ListBullet"/>
      </w:pPr>
      <w:r>
        <w:t>Precipitation &amp; Crystallisation Prediction</w:t>
      </w:r>
    </w:p>
    <w:p>
      <w:pPr>
        <w:pStyle w:val="ListBullet"/>
      </w:pPr>
      <w:r>
        <w:t>Oxidation Risk Assessment</w:t>
      </w:r>
    </w:p>
    <w:p>
      <w:pPr>
        <w:pStyle w:val="ListBullet"/>
      </w:pPr>
      <w:r>
        <w:t>Hydrolysis Risk Assessment</w:t>
      </w:r>
    </w:p>
    <w:p>
      <w:pPr>
        <w:pStyle w:val="ListBullet"/>
      </w:pPr>
      <w:r>
        <w:t>Content Uniformity Assessment</w:t>
      </w:r>
    </w:p>
    <w:p>
      <w:pPr>
        <w:pStyle w:val="ListBullet"/>
      </w:pPr>
      <w:r>
        <w:t>Shell–Fill Compatibility Assessment</w:t>
      </w:r>
    </w:p>
    <w:p>
      <w:pPr>
        <w:pStyle w:val="ListBullet"/>
      </w:pPr>
      <w:r>
        <w:t>Scale-up &amp; Technology Transfer</w:t>
      </w:r>
    </w:p>
    <w:p>
      <w:pPr>
        <w:pStyle w:val="ListBullet"/>
      </w:pPr>
      <w:r>
        <w:t>Lifecycle Change Assessment</w:t>
      </w:r>
    </w:p>
    <w:p>
      <w:pPr>
        <w:pStyle w:val="Heading1"/>
      </w:pPr>
      <w:r>
        <w:t>Appendix 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FILL-01-01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FILL-01-02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FILL-01-03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FILL-01-04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FILL-01-05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FILL-01-06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FILL-01-07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FILL-01-08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FILL-02-01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FILL-02-02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FILL-02-03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FILL-02-04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FILL-02-05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FILL-02-06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FILL-02-07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FILL-02-08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FILL-03-01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FILL-03-02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FILL-03-03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FILL-03-04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FILL-03-05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FILL-03-06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FILL-03-07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FILL-03-08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FILL-04-01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FILL-04-02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FILL-04-03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FILL-04-04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FILL-04-05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FILL-04-06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FILL-04-07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FILL-04-08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FILL-05-01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FILL-05-02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FILL-05-03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FILL-05-04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FILL-05-05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FILL-05-06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FILL-05-07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FILL-05-08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FILL-06-01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FILL-06-02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FILL-06-03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FILL-06-04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FILL-06-05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FILL-06-06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FILL-06-07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FILL-06-08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FILL-07-01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FILL-07-02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FILL-07-03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FILL-07-04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FILL-07-05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FILL-07-06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FILL-07-07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FILL-07-08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FILL-08-01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FILL-08-02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FILL-08-03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FILL-08-04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FILL-08-05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FILL-08-06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FILL-08-07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FILL-08-08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FILL-09-01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FILL-09-02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FILL-09-03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FILL-09-04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FILL-09-05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FILL-09-06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FILL-09-07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FILL-09-08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10: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FILL-10-01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FILL-10-02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FILL-10-03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FILL-10-04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FILL-10-05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FILL-10-06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FILL-10-07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FILL-10-08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11: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FILL-11-01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FILL-11-02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FILL-11-03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FILL-11-04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FILL-11-05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FILL-11-06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FILL-11-07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FILL-11-08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12: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FILL-12-01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FILL-12-02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FILL-12-03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FILL-12-04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FILL-12-05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FILL-12-06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FILL-12-07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FILL-12-08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13: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FILL-13-01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FILL-13-02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FILL-13-03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FILL-13-04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FILL-13-05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FILL-13-06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FILL-13-07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FILL-13-08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14: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FILL-14-01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FILL-14-02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FILL-14-03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FILL-14-04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FILL-14-05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FILL-14-06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FILL-14-07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FILL-14-08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15: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FILL-15-01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FILL-15-02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FILL-15-03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FILL-15-04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FILL-15-05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FILL-15-06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FILL-15-07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FILL-15-08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16: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FILL-16-01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FILL-16-02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FILL-16-03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FILL-16-04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FILL-16-05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FILL-16-06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FILL-16-07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FILL-16-08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17: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FILL-17-01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FILL-17-02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FILL-17-03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FILL-17-04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FILL-17-05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FILL-17-06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FILL-17-07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FILL-17-08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18: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FILL-18-01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FILL-18-02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FILL-18-03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FILL-18-04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FILL-18-05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FILL-18-06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FILL-18-07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FILL-18-08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19: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FILL-19-01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FILL-19-02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FILL-19-03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FILL-19-04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FILL-19-05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FILL-19-06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FILL-19-07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FILL-19-08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20: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FILL-20-01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FILL-20-02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FILL-20-03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FILL-20-04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FILL-20-05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FILL-20-06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FILL-20-07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FILL-20-08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21: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FILL-21-01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FILL-21-02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FILL-21-03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FILL-21-04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FILL-21-05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FILL-21-06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FILL-21-07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FILL-21-08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22: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FILL-22-01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FILL-22-02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FILL-22-03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FILL-22-04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FILL-22-05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FILL-22-06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FILL-22-07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FILL-22-08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23: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FILL-23-01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FILL-23-02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FILL-23-03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FILL-23-04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FILL-23-05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FILL-23-06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FILL-23-07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FILL-23-08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24: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FILL-24-01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FILL-24-02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FILL-24-03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FILL-24-04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FILL-24-05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FILL-24-06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FILL-24-07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FILL-24-08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25: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FILL-25-01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FILL-25-02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FILL-25-03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FILL-25-04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FILL-25-05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FILL-25-06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FILL-25-07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FILL-25-08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26: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FILL-26-01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FILL-26-02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FILL-26-03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FILL-26-04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FILL-26-05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FILL-26-06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FILL-26-07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FILL-26-08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27: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FILL-27-01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FILL-27-02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FILL-27-03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FILL-27-04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FILL-27-05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FILL-27-06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FILL-27-07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FILL-27-08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28: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FILL-28-01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FILL-28-02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FILL-28-03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FILL-28-04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FILL-28-05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FILL-28-06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FILL-28-07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FILL-28-08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29: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FILL-29-01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FILL-29-02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FILL-29-03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FILL-29-04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FILL-29-05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FILL-29-06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FILL-29-07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FILL-29-08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p>
      <w:pPr>
        <w:pStyle w:val="Heading1"/>
      </w:pPr>
      <w:r>
        <w:t>Appendix 30: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FILL-30-01</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FILL-30-02</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FILL-30-03</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FILL-30-04</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FILL-30-05</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FILL-30-06</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FILL-30-07</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r>
        <w:tc>
          <w:tcPr>
            <w:tcW w:type="dxa" w:w="2160"/>
          </w:tcPr>
          <w:p>
            <w:r>
              <w:t>FILL-30-08</w:t>
            </w:r>
          </w:p>
        </w:tc>
        <w:tc>
          <w:tcPr>
            <w:tcW w:type="dxa" w:w="2160"/>
          </w:tcPr>
          <w:p>
            <w:r>
              <w:t>Agent shall recommend scientifically justified fill formulations that satisfy QTPP, manufacturability, stability, bioequivalence and regulatory requirements.</w:t>
            </w:r>
          </w:p>
        </w:tc>
        <w:tc>
          <w:tcPr>
            <w:tcW w:type="dxa" w:w="2160"/>
          </w:tcPr>
          <w:p>
            <w:r>
              <w:t>Recommendations are evidence-based, reproducible, traceable and auditable.</w:t>
            </w:r>
          </w:p>
        </w:tc>
        <w:tc>
          <w:tcPr>
            <w:tcW w:type="dxa" w:w="2160"/>
          </w:tcPr>
          <w:p>
            <w:r>
              <w:t>High</w:t>
            </w:r>
          </w:p>
        </w:tc>
      </w:tr>
    </w:tbl>
    <w:p>
      <w:r>
        <w:t>Design Note: Every fill component should be traceable to its functional role, scientific justification, compatibility data, regulatory status, supplier strategy, associated CQAs, manufacturing implications and lifecycle risk assessment. The agent should preserve complete formulation provenance and support comparison between formulation iterations.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