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Product Development Scientist</w:t>
        <w:br/>
        <w:t>Version 1.0</w:t>
      </w:r>
    </w:p>
    <w:p>
      <w:r>
        <w:t>This Software Design Specification defines the Product Development Scientist AI Agent for generic oral soft gelatin capsule development. The agent is responsible for translating the Quality Target Product Profile (QTPP) into a scientifically robust formulation and process development strategy aligned with FDA, EMA, MHRA, ICH Q8–Q12 and current GMP expectations.</w:t>
      </w:r>
    </w:p>
    <w:p>
      <w:pPr>
        <w:pStyle w:val="Heading1"/>
      </w:pPr>
      <w:r>
        <w:t>1. Purpose</w:t>
      </w:r>
    </w:p>
    <w:p>
      <w:pPr>
        <w:pStyle w:val="ListBullet"/>
      </w:pPr>
      <w:r>
        <w:t>Lead formulation development from concept through commercialisation.</w:t>
      </w:r>
    </w:p>
    <w:p>
      <w:pPr>
        <w:pStyle w:val="ListBullet"/>
      </w:pPr>
      <w:r>
        <w:t>Develop evidence-based formulation strategies.</w:t>
      </w:r>
    </w:p>
    <w:p>
      <w:pPr>
        <w:pStyle w:val="ListBullet"/>
      </w:pPr>
      <w:r>
        <w:t>Maintain traceable scientific rationale for all development decisions.</w:t>
      </w:r>
    </w:p>
    <w:p>
      <w:pPr>
        <w:pStyle w:val="Heading2"/>
      </w:pPr>
      <w:r>
        <w:t>1. Purpose.1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1. Purpose.2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1. Purpose.3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1. Purpose.4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1. Purpose.5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2. Scope</w:t>
      </w:r>
    </w:p>
    <w:p>
      <w:pPr>
        <w:pStyle w:val="ListBullet"/>
      </w:pPr>
      <w:r>
        <w:t>Generic oral softgel products.</w:t>
      </w:r>
    </w:p>
    <w:p>
      <w:pPr>
        <w:pStyle w:val="ListBullet"/>
      </w:pPr>
      <w:r>
        <w:t>Prototype formulation through process optimisation and technology transfer.</w:t>
      </w:r>
    </w:p>
    <w:p>
      <w:pPr>
        <w:pStyle w:val="ListBullet"/>
      </w:pPr>
      <w:r>
        <w:t>Interaction with analytical, regulatory, QA and manufacturing agents.</w:t>
      </w:r>
    </w:p>
    <w:p>
      <w:pPr>
        <w:pStyle w:val="Heading2"/>
      </w:pPr>
      <w:r>
        <w:t>2. Scope.1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2. Scope.2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2. Scope.3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2. Scope.4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2. Scope.5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3. Core Responsibilities</w:t>
      </w:r>
    </w:p>
    <w:p>
      <w:pPr>
        <w:pStyle w:val="ListBullet"/>
      </w:pPr>
      <w:r>
        <w:t>Interpret QTPP and CQAs.</w:t>
      </w:r>
    </w:p>
    <w:p>
      <w:pPr>
        <w:pStyle w:val="ListBullet"/>
      </w:pPr>
      <w:r>
        <w:t>Select formulation approach.</w:t>
      </w:r>
    </w:p>
    <w:p>
      <w:pPr>
        <w:pStyle w:val="ListBullet"/>
      </w:pPr>
      <w:r>
        <w:t>Evaluate API physicochemical properties.</w:t>
      </w:r>
    </w:p>
    <w:p>
      <w:pPr>
        <w:pStyle w:val="ListBullet"/>
      </w:pPr>
      <w:r>
        <w:t>Coordinate excipient selection.</w:t>
      </w:r>
    </w:p>
    <w:p>
      <w:pPr>
        <w:pStyle w:val="ListBullet"/>
      </w:pPr>
      <w:r>
        <w:t>Design DoE studies.</w:t>
      </w:r>
    </w:p>
    <w:p>
      <w:pPr>
        <w:pStyle w:val="ListBullet"/>
      </w:pPr>
      <w:r>
        <w:t>Optimise shell and fill compatibility.</w:t>
      </w:r>
    </w:p>
    <w:p>
      <w:pPr>
        <w:pStyle w:val="ListBullet"/>
      </w:pPr>
      <w:r>
        <w:t>Assess manufacturability and scalability.</w:t>
      </w:r>
    </w:p>
    <w:p>
      <w:pPr>
        <w:pStyle w:val="ListBullet"/>
      </w:pPr>
      <w:r>
        <w:t>Support stability strategy.</w:t>
      </w:r>
    </w:p>
    <w:p>
      <w:pPr>
        <w:pStyle w:val="ListBullet"/>
      </w:pPr>
      <w:r>
        <w:t>Prepare development reports.</w:t>
      </w:r>
    </w:p>
    <w:p>
      <w:pPr>
        <w:pStyle w:val="Heading2"/>
      </w:pPr>
      <w:r>
        <w:t>3. Core Responsibilities.1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3. Core Responsibilities.2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3. Core Responsibilities.3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3. Core Responsibilities.4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3. Core Responsibilities.5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4. Scientific Knowledge Base</w:t>
      </w:r>
    </w:p>
    <w:p>
      <w:pPr>
        <w:pStyle w:val="ListBullet"/>
      </w:pPr>
      <w:r>
        <w:t>FDA guidance, EMA guidance, ICH Q8/Q9/Q10/Q11/Q12.</w:t>
      </w:r>
    </w:p>
    <w:p>
      <w:pPr>
        <w:pStyle w:val="ListBullet"/>
      </w:pPr>
      <w:r>
        <w:t>USP, Ph. Eur., BP.</w:t>
      </w:r>
    </w:p>
    <w:p>
      <w:pPr>
        <w:pStyle w:val="ListBullet"/>
      </w:pPr>
      <w:r>
        <w:t>Softgel manufacturing science.</w:t>
      </w:r>
    </w:p>
    <w:p>
      <w:pPr>
        <w:pStyle w:val="ListBullet"/>
      </w:pPr>
      <w:r>
        <w:t>Biopharmaceutics and BCS.</w:t>
      </w:r>
    </w:p>
    <w:p>
      <w:pPr>
        <w:pStyle w:val="ListBullet"/>
      </w:pPr>
      <w:r>
        <w:t>Excipient compatibility.</w:t>
      </w:r>
    </w:p>
    <w:p>
      <w:pPr>
        <w:pStyle w:val="ListBullet"/>
      </w:pPr>
      <w:r>
        <w:t>Lipid systems, suspensions and solutions.</w:t>
      </w:r>
    </w:p>
    <w:p>
      <w:pPr>
        <w:pStyle w:val="Heading2"/>
      </w:pPr>
      <w:r>
        <w:t>4. Scientific Knowledge Base.1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4. Scientific Knowledge Base.2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4. Scientific Knowledge Base.3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4. Scientific Knowledge Base.4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4. Scientific Knowledge Base.5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5. Inputs</w:t>
      </w:r>
    </w:p>
    <w:p>
      <w:pPr>
        <w:pStyle w:val="ListBullet"/>
      </w:pPr>
      <w:r>
        <w:t>QTPP, API data, polymorph information, solubility, pKa, logP.</w:t>
      </w:r>
    </w:p>
    <w:p>
      <w:pPr>
        <w:pStyle w:val="ListBullet"/>
      </w:pPr>
      <w:r>
        <w:t>Target markets and regulatory strategy.</w:t>
      </w:r>
    </w:p>
    <w:p>
      <w:pPr>
        <w:pStyle w:val="ListBullet"/>
      </w:pPr>
      <w:r>
        <w:t>Excipient database.</w:t>
      </w:r>
    </w:p>
    <w:p>
      <w:pPr>
        <w:pStyle w:val="ListBullet"/>
      </w:pPr>
      <w:r>
        <w:t>Analytical methods.</w:t>
      </w:r>
    </w:p>
    <w:p>
      <w:pPr>
        <w:pStyle w:val="ListBullet"/>
      </w:pPr>
      <w:r>
        <w:t>Manufacturing constraints.</w:t>
      </w:r>
    </w:p>
    <w:p>
      <w:pPr>
        <w:pStyle w:val="Heading2"/>
      </w:pPr>
      <w:r>
        <w:t>5. Inputs.1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5. Inputs.2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5. Inputs.3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5. Inputs.4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5. Inputs.5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6. Outputs</w:t>
      </w:r>
    </w:p>
    <w:p>
      <w:pPr>
        <w:pStyle w:val="ListBullet"/>
      </w:pPr>
      <w:r>
        <w:t>Formulation Development Plan.</w:t>
      </w:r>
    </w:p>
    <w:p>
      <w:pPr>
        <w:pStyle w:val="ListBullet"/>
      </w:pPr>
      <w:r>
        <w:t>Prototype formulations.</w:t>
      </w:r>
    </w:p>
    <w:p>
      <w:pPr>
        <w:pStyle w:val="ListBullet"/>
      </w:pPr>
      <w:r>
        <w:t>Risk assessments.</w:t>
      </w:r>
    </w:p>
    <w:p>
      <w:pPr>
        <w:pStyle w:val="ListBullet"/>
      </w:pPr>
      <w:r>
        <w:t>Design of Experiments matrix.</w:t>
      </w:r>
    </w:p>
    <w:p>
      <w:pPr>
        <w:pStyle w:val="ListBullet"/>
      </w:pPr>
      <w:r>
        <w:t>Technology transfer package.</w:t>
      </w:r>
    </w:p>
    <w:p>
      <w:pPr>
        <w:pStyle w:val="Heading2"/>
      </w:pPr>
      <w:r>
        <w:t>6. Outputs.1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6. Outputs.2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6. Outputs.3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6. Outputs.4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6. Outputs.5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7. Quality Controls</w:t>
      </w:r>
    </w:p>
    <w:p>
      <w:pPr>
        <w:pStyle w:val="ListBullet"/>
      </w:pPr>
      <w:r>
        <w:t>Scientific rationale documented.</w:t>
      </w:r>
    </w:p>
    <w:p>
      <w:pPr>
        <w:pStyle w:val="ListBullet"/>
      </w:pPr>
      <w:r>
        <w:t>All assumptions traceable.</w:t>
      </w:r>
    </w:p>
    <w:p>
      <w:pPr>
        <w:pStyle w:val="ListBullet"/>
      </w:pPr>
      <w:r>
        <w:t>Contradictions flagged.</w:t>
      </w:r>
    </w:p>
    <w:p>
      <w:pPr>
        <w:pStyle w:val="ListBullet"/>
      </w:pPr>
      <w:r>
        <w:t>Regulatory consistency checks.</w:t>
      </w:r>
    </w:p>
    <w:p>
      <w:pPr>
        <w:pStyle w:val="ListBullet"/>
      </w:pPr>
      <w:r>
        <w:t>Cross-agent review.</w:t>
      </w:r>
    </w:p>
    <w:p>
      <w:pPr>
        <w:pStyle w:val="Heading2"/>
      </w:pPr>
      <w:r>
        <w:t>7. Quality Controls.1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7. Quality Controls.2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7. Quality Controls.3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7. Quality Controls.4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7. Quality Controls.5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8. Validation Strategy</w:t>
      </w:r>
    </w:p>
    <w:p>
      <w:pPr>
        <w:pStyle w:val="ListBullet"/>
      </w:pPr>
      <w:r>
        <w:t>Unit tests for decision rules.</w:t>
      </w:r>
    </w:p>
    <w:p>
      <w:pPr>
        <w:pStyle w:val="ListBullet"/>
      </w:pPr>
      <w:r>
        <w:t>Expert review.</w:t>
      </w:r>
    </w:p>
    <w:p>
      <w:pPr>
        <w:pStyle w:val="ListBullet"/>
      </w:pPr>
      <w:r>
        <w:t>Historical project benchmarking.</w:t>
      </w:r>
    </w:p>
    <w:p>
      <w:pPr>
        <w:pStyle w:val="ListBullet"/>
      </w:pPr>
      <w:r>
        <w:t>Regression testing.</w:t>
      </w:r>
    </w:p>
    <w:p>
      <w:pPr>
        <w:pStyle w:val="Heading2"/>
      </w:pPr>
      <w:r>
        <w:t>8. Validation Strategy.1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8. Validation Strategy.2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8. Validation Strategy.3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8. Validation Strategy.4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2"/>
      </w:pPr>
      <w:r>
        <w:t>8. Validation Strategy.5 Detailed Design</w:t>
      </w:r>
    </w:p>
    <w:p>
      <w:r>
        <w:t>Objective: Execute this function using deterministic workflows supported by evidence-based AI reasoning.</w:t>
      </w:r>
    </w:p>
    <w:p>
      <w:r>
        <w:t>Inputs: Structured laboratory, regulatory and manufacturing data.</w:t>
      </w:r>
    </w:p>
    <w:p>
      <w:r>
        <w:t>Processing: Validate data quality, apply scientific rules, generate ranked development options and document rationale.</w:t>
      </w:r>
    </w:p>
    <w:p>
      <w:r>
        <w:t>Outputs: Recommendations with confidence scores, supporting evidence and identified risks.</w:t>
      </w:r>
    </w:p>
    <w:p>
      <w:r>
        <w:t>Quality Assurance: Completeness checks, contradiction detection, regulatory alignment and audit logging.</w:t>
      </w:r>
    </w:p>
    <w:p>
      <w:r>
        <w:t>Escalation: Request additional information whenever confidence is insufficient or mandatory evidence is absent.</w:t>
      </w:r>
    </w:p>
    <w:p>
      <w:pPr>
        <w:pStyle w:val="Heading1"/>
      </w:pPr>
      <w:r>
        <w:t>Core Functional Modules</w:t>
      </w:r>
    </w:p>
    <w:p>
      <w:pPr>
        <w:pStyle w:val="ListBullet"/>
      </w:pPr>
      <w:r>
        <w:t>API Characterisation</w:t>
      </w:r>
    </w:p>
    <w:p>
      <w:pPr>
        <w:pStyle w:val="ListBullet"/>
      </w:pPr>
      <w:r>
        <w:t>Preformulation</w:t>
      </w:r>
    </w:p>
    <w:p>
      <w:pPr>
        <w:pStyle w:val="ListBullet"/>
      </w:pPr>
      <w:r>
        <w:t>Excipient Compatibility</w:t>
      </w:r>
    </w:p>
    <w:p>
      <w:pPr>
        <w:pStyle w:val="ListBullet"/>
      </w:pPr>
      <w:r>
        <w:t>Fill Formulation Optimisation</w:t>
      </w:r>
    </w:p>
    <w:p>
      <w:pPr>
        <w:pStyle w:val="ListBullet"/>
      </w:pPr>
      <w:r>
        <w:t>Shell Formulation Compatibility</w:t>
      </w:r>
    </w:p>
    <w:p>
      <w:pPr>
        <w:pStyle w:val="ListBullet"/>
      </w:pPr>
      <w:r>
        <w:t>Design of Experiments</w:t>
      </w:r>
    </w:p>
    <w:p>
      <w:pPr>
        <w:pStyle w:val="ListBullet"/>
      </w:pPr>
      <w:r>
        <w:t>Scale-up Assessment</w:t>
      </w:r>
    </w:p>
    <w:p>
      <w:pPr>
        <w:pStyle w:val="ListBullet"/>
      </w:pPr>
      <w:r>
        <w:t>Manufacturing Feasibility</w:t>
      </w:r>
    </w:p>
    <w:p>
      <w:pPr>
        <w:pStyle w:val="ListBullet"/>
      </w:pPr>
      <w:r>
        <w:t>Stability Prediction</w:t>
      </w:r>
    </w:p>
    <w:p>
      <w:pPr>
        <w:pStyle w:val="ListBullet"/>
      </w:pPr>
      <w:r>
        <w:t>Development Reporting</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PDS-01-01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PDS-01-08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PDS-02-01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PDS-02-08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PDS-03-01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PDS-03-08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PDS-04-01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PDS-04-08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PDS-05-01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PDS-05-08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PDS-06-01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PDS-06-08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PDS-07-01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PDS-07-08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PDS-08-01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PDS-08-08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PDS-09-01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PDS-09-08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PDS-10-01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PDS-10-08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PDS-11-01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PDS-11-08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PDS-12-01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PDS-12-08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PDS-13-01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PDS-13-08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PDS-14-01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PDS-14-08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PDS-15-01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PDS-15-08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PDS-16-01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PDS-16-08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PDS-17-01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PDS-17-08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PDS-18-01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PDS-18-08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PDS-19-01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PDS-19-08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PDS-20-01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PDS-20-08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PDS-21-01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PDS-21-08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PDS-22-01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PDS-22-08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PDS-23-01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PDS-23-08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PDS-24-01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PDS-24-08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PDS-25-01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PDS-25-08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PDS-26-01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PDS-26-08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PDS-27-01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PDS-27-08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PDS-28-01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PDS-28-08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PDS-29-01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PDS-29-08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PDS-30-01</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PDS-30-02</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PDS-30-03</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PDS-30-04</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PDS-30-05</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PDS-30-06</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PDS-30-07</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r>
        <w:tc>
          <w:tcPr>
            <w:tcW w:type="dxa" w:w="2160"/>
          </w:tcPr>
          <w:p>
            <w:r>
              <w:t>PDS-30-08</w:t>
            </w:r>
          </w:p>
        </w:tc>
        <w:tc>
          <w:tcPr>
            <w:tcW w:type="dxa" w:w="2160"/>
          </w:tcPr>
          <w:p>
            <w:r>
              <w:t>Agent shall generate scientifically justified formulation recommendations using validated pharmaceutical data and regulatory guidance.</w:t>
            </w:r>
          </w:p>
        </w:tc>
        <w:tc>
          <w:tcPr>
            <w:tcW w:type="dxa" w:w="2160"/>
          </w:tcPr>
          <w:p>
            <w:r>
              <w:t>Recommendations reproducible, traceable and evidence-backed.</w:t>
            </w:r>
          </w:p>
        </w:tc>
        <w:tc>
          <w:tcPr>
            <w:tcW w:type="dxa" w:w="2160"/>
          </w:tcPr>
          <w:p>
            <w:r>
              <w:t>High</w:t>
            </w:r>
          </w:p>
        </w:tc>
      </w:tr>
    </w:tbl>
    <w:p>
      <w:r>
        <w:t>Design Notes: Separate deterministic formulation rules from generative reasoning. Maintain complete provenance for all recommendations, support versioned formulation histories, and integrate with analytical, QA, manufacturing and regulatory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