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Design Specification (SDS)</w:t>
        <w:br/>
        <w:t>AI Agent – Quality by Design (QbD) Expert</w:t>
        <w:br/>
        <w:t>Version 1.0</w:t>
      </w:r>
    </w:p>
    <w:p>
      <w:r>
        <w:t>This Software Design Specification defines the AI Quality by Design (QbD) Expert for generic oral soft gelatin capsule development. The agent translates the approved QTPP into a science- and risk-based development strategy by identifying Critical Quality Attributes (CQAs), Critical Material Attributes (CMAs), Critical Process Parameters (CPPs), control strategies, design space, and lifecycle risk management in accordance with ICH Q8(R2), ICH Q9, ICH Q10, ICH Q11, ICH Q12, FDA guidance, EMA expectations and EU GMP.</w:t>
      </w:r>
    </w:p>
    <w:p>
      <w:pPr>
        <w:pStyle w:val="Heading1"/>
      </w:pPr>
      <w:r>
        <w:t>1. Purpose</w:t>
      </w:r>
    </w:p>
    <w:p>
      <w:pPr>
        <w:pStyle w:val="ListBullet"/>
      </w:pPr>
      <w:r>
        <w:t>Implement Quality by Design principles throughout development.</w:t>
      </w:r>
    </w:p>
    <w:p>
      <w:pPr>
        <w:pStyle w:val="ListBullet"/>
      </w:pPr>
      <w:r>
        <w:t>Translate the QTPP into measurable quality controls.</w:t>
      </w:r>
    </w:p>
    <w:p>
      <w:pPr>
        <w:pStyle w:val="ListBullet"/>
      </w:pPr>
      <w:r>
        <w:t>Establish a robust, risk-based product and process understanding.</w:t>
      </w:r>
    </w:p>
    <w:p>
      <w:pPr>
        <w:pStyle w:val="Heading2"/>
      </w:pPr>
      <w:r>
        <w:t>1. Purpose.1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1. Purpose.2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1. Purpose.3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1. Purpose.4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1. Purpose.5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1"/>
      </w:pPr>
      <w:r>
        <w:t>2. Scope</w:t>
      </w:r>
    </w:p>
    <w:p>
      <w:pPr>
        <w:pStyle w:val="ListBullet"/>
      </w:pPr>
      <w:r>
        <w:t>Supports generic oral softgel products from pre-formulation through commercial manufacture.</w:t>
      </w:r>
    </w:p>
    <w:p>
      <w:pPr>
        <w:pStyle w:val="ListBullet"/>
      </w:pPr>
      <w:r>
        <w:t>Interfaces with QTPP, Product Development, Analytical, Manufacturing, QA, QC, Validation and Regulatory AI agents.</w:t>
      </w:r>
    </w:p>
    <w:p>
      <w:pPr>
        <w:pStyle w:val="Heading2"/>
      </w:pPr>
      <w:r>
        <w:t>2. Scope.1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2. Scope.2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2. Scope.3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2. Scope.4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2. Scope.5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1"/>
      </w:pPr>
      <w:r>
        <w:t>3. Core Responsibilities</w:t>
      </w:r>
    </w:p>
    <w:p>
      <w:pPr>
        <w:pStyle w:val="ListBullet"/>
      </w:pPr>
      <w:r>
        <w:t>Identify and maintain CQAs.</w:t>
      </w:r>
    </w:p>
    <w:p>
      <w:pPr>
        <w:pStyle w:val="ListBullet"/>
      </w:pPr>
      <w:r>
        <w:t>Identify CMAs and CPPs.</w:t>
      </w:r>
    </w:p>
    <w:p>
      <w:pPr>
        <w:pStyle w:val="ListBullet"/>
      </w:pPr>
      <w:r>
        <w:t>Perform ICH Q9 risk assessments (FMEA, Ishikawa, HACCP where appropriate).</w:t>
      </w:r>
    </w:p>
    <w:p>
      <w:pPr>
        <w:pStyle w:val="ListBullet"/>
      </w:pPr>
      <w:r>
        <w:t>Define the control strategy.</w:t>
      </w:r>
    </w:p>
    <w:p>
      <w:pPr>
        <w:pStyle w:val="ListBullet"/>
      </w:pPr>
      <w:r>
        <w:t>Recommend Design of Experiments (DoE).</w:t>
      </w:r>
    </w:p>
    <w:p>
      <w:pPr>
        <w:pStyle w:val="ListBullet"/>
      </w:pPr>
      <w:r>
        <w:t>Establish and maintain the design space.</w:t>
      </w:r>
    </w:p>
    <w:p>
      <w:pPr>
        <w:pStyle w:val="ListBullet"/>
      </w:pPr>
      <w:r>
        <w:t>Support lifecycle management under ICH Q12.</w:t>
      </w:r>
    </w:p>
    <w:p>
      <w:pPr>
        <w:pStyle w:val="Heading2"/>
      </w:pPr>
      <w:r>
        <w:t>3. Core Responsibilities.1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3. Core Responsibilities.2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3. Core Responsibilities.3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3. Core Responsibilities.4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3. Core Responsibilities.5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1"/>
      </w:pPr>
      <w:r>
        <w:t>4. Knowledge Base</w:t>
      </w:r>
    </w:p>
    <w:p>
      <w:pPr>
        <w:pStyle w:val="ListBullet"/>
      </w:pPr>
      <w:r>
        <w:t>ICH Q8(R2), Q9(R1), Q10, Q11 and Q12.</w:t>
      </w:r>
    </w:p>
    <w:p>
      <w:pPr>
        <w:pStyle w:val="ListBullet"/>
      </w:pPr>
      <w:r>
        <w:t>FDA Quality by Design guidance.</w:t>
      </w:r>
    </w:p>
    <w:p>
      <w:pPr>
        <w:pStyle w:val="ListBullet"/>
      </w:pPr>
      <w:r>
        <w:t>FDA 21 CFR Parts 210/211.</w:t>
      </w:r>
    </w:p>
    <w:p>
      <w:pPr>
        <w:pStyle w:val="ListBullet"/>
      </w:pPr>
      <w:r>
        <w:t>EU GMP.</w:t>
      </w:r>
    </w:p>
    <w:p>
      <w:pPr>
        <w:pStyle w:val="ListBullet"/>
      </w:pPr>
      <w:r>
        <w:t>USP, Ph. Eur. and BP.</w:t>
      </w:r>
    </w:p>
    <w:p>
      <w:pPr>
        <w:pStyle w:val="Heading2"/>
      </w:pPr>
      <w:r>
        <w:t>4. Knowledge Base.1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4. Knowledge Base.2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4. Knowledge Base.3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4. Knowledge Base.4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4. Knowledge Base.5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1"/>
      </w:pPr>
      <w:r>
        <w:t>5. Inputs</w:t>
      </w:r>
    </w:p>
    <w:p>
      <w:pPr>
        <w:pStyle w:val="ListBullet"/>
      </w:pPr>
      <w:r>
        <w:t>Approved QTPP.</w:t>
      </w:r>
    </w:p>
    <w:p>
      <w:pPr>
        <w:pStyle w:val="ListBullet"/>
      </w:pPr>
      <w:r>
        <w:t>API and excipient characteristics.</w:t>
      </w:r>
    </w:p>
    <w:p>
      <w:pPr>
        <w:pStyle w:val="ListBullet"/>
      </w:pPr>
      <w:r>
        <w:t>Formulation development data.</w:t>
      </w:r>
    </w:p>
    <w:p>
      <w:pPr>
        <w:pStyle w:val="ListBullet"/>
      </w:pPr>
      <w:r>
        <w:t>Manufacturing process data.</w:t>
      </w:r>
    </w:p>
    <w:p>
      <w:pPr>
        <w:pStyle w:val="ListBullet"/>
      </w:pPr>
      <w:r>
        <w:t>Analytical method performance.</w:t>
      </w:r>
    </w:p>
    <w:p>
      <w:pPr>
        <w:pStyle w:val="ListBullet"/>
      </w:pPr>
      <w:r>
        <w:t>Stability data.</w:t>
      </w:r>
    </w:p>
    <w:p>
      <w:pPr>
        <w:pStyle w:val="Heading2"/>
      </w:pPr>
      <w:r>
        <w:t>5. Inputs.1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5. Inputs.2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5. Inputs.3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5. Inputs.4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5. Inputs.5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1"/>
      </w:pPr>
      <w:r>
        <w:t>6. Outputs</w:t>
      </w:r>
    </w:p>
    <w:p>
      <w:pPr>
        <w:pStyle w:val="ListBullet"/>
      </w:pPr>
      <w:r>
        <w:t>CQA register.</w:t>
      </w:r>
    </w:p>
    <w:p>
      <w:pPr>
        <w:pStyle w:val="ListBullet"/>
      </w:pPr>
      <w:r>
        <w:t>CMA and CPP register.</w:t>
      </w:r>
    </w:p>
    <w:p>
      <w:pPr>
        <w:pStyle w:val="ListBullet"/>
      </w:pPr>
      <w:r>
        <w:t>Risk assessment reports.</w:t>
      </w:r>
    </w:p>
    <w:p>
      <w:pPr>
        <w:pStyle w:val="ListBullet"/>
      </w:pPr>
      <w:r>
        <w:t>Control strategy.</w:t>
      </w:r>
    </w:p>
    <w:p>
      <w:pPr>
        <w:pStyle w:val="ListBullet"/>
      </w:pPr>
      <w:r>
        <w:t>Design space definition.</w:t>
      </w:r>
    </w:p>
    <w:p>
      <w:pPr>
        <w:pStyle w:val="ListBullet"/>
      </w:pPr>
      <w:r>
        <w:t>Lifecycle management recommendations.</w:t>
      </w:r>
    </w:p>
    <w:p>
      <w:pPr>
        <w:pStyle w:val="Heading2"/>
      </w:pPr>
      <w:r>
        <w:t>6. Outputs.1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6. Outputs.2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6. Outputs.3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6. Outputs.4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6. Outputs.5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1"/>
      </w:pPr>
      <w:r>
        <w:t>7. Quality Controls</w:t>
      </w:r>
    </w:p>
    <w:p>
      <w:pPr>
        <w:pStyle w:val="ListBullet"/>
      </w:pPr>
      <w:r>
        <w:t>Consistency between QTPP, CQAs, CMAs and CPPs.</w:t>
      </w:r>
    </w:p>
    <w:p>
      <w:pPr>
        <w:pStyle w:val="ListBullet"/>
      </w:pPr>
      <w:r>
        <w:t>Traceability of all decisions.</w:t>
      </w:r>
    </w:p>
    <w:p>
      <w:pPr>
        <w:pStyle w:val="ListBullet"/>
      </w:pPr>
      <w:r>
        <w:t>Automated conflict detection.</w:t>
      </w:r>
    </w:p>
    <w:p>
      <w:pPr>
        <w:pStyle w:val="ListBullet"/>
      </w:pPr>
      <w:r>
        <w:t>Version control and audit trail.</w:t>
      </w:r>
    </w:p>
    <w:p>
      <w:pPr>
        <w:pStyle w:val="ListBullet"/>
      </w:pPr>
      <w:r>
        <w:t>Confidence scoring.</w:t>
      </w:r>
    </w:p>
    <w:p>
      <w:pPr>
        <w:pStyle w:val="Heading2"/>
      </w:pPr>
      <w:r>
        <w:t>7. Quality Controls.1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7. Quality Controls.2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7. Quality Controls.3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7. Quality Controls.4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7. Quality Controls.5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1"/>
      </w:pPr>
      <w:r>
        <w:t>8. Validation Strategy</w:t>
      </w:r>
    </w:p>
    <w:p>
      <w:pPr>
        <w:pStyle w:val="ListBullet"/>
      </w:pPr>
      <w:r>
        <w:t>Rule-based validation.</w:t>
      </w:r>
    </w:p>
    <w:p>
      <w:pPr>
        <w:pStyle w:val="ListBullet"/>
      </w:pPr>
      <w:r>
        <w:t>Historical project benchmarking.</w:t>
      </w:r>
    </w:p>
    <w:p>
      <w:pPr>
        <w:pStyle w:val="ListBullet"/>
      </w:pPr>
      <w:r>
        <w:t>Cross-agent verification.</w:t>
      </w:r>
    </w:p>
    <w:p>
      <w:pPr>
        <w:pStyle w:val="ListBullet"/>
      </w:pPr>
      <w:r>
        <w:t>Expert review and regression testing.</w:t>
      </w:r>
    </w:p>
    <w:p>
      <w:pPr>
        <w:pStyle w:val="Heading2"/>
      </w:pPr>
      <w:r>
        <w:t>8. Validation Strategy.1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8. Validation Strategy.2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8. Validation Strategy.3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8. Validation Strategy.4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2"/>
      </w:pPr>
      <w:r>
        <w:t>8. Validation Strategy.5 Detailed Design</w:t>
      </w:r>
    </w:p>
    <w:p>
      <w:r>
        <w:t>Objective: Apply Quality by Design principles in a deterministic and auditable manner.</w:t>
      </w:r>
    </w:p>
    <w:p>
      <w:r>
        <w:t>Inputs: Structured scientific, manufacturing, analytical and regulatory information.</w:t>
      </w:r>
    </w:p>
    <w:p>
      <w:r>
        <w:t>Processing: Identify relationships between QTPP, CQAs, CMAs and CPPs using risk-based logic and documented evidence.</w:t>
      </w:r>
    </w:p>
    <w:p>
      <w:r>
        <w:t>Outputs: Controlled QbD artefacts with rationale, confidence scores and identified risks.</w:t>
      </w:r>
    </w:p>
    <w:p>
      <w:r>
        <w:t>Quality Assurance: Completeness checks, traceability, regulatory alignment and audit logging.</w:t>
      </w:r>
    </w:p>
    <w:p>
      <w:r>
        <w:t>Escalation: Missing evidence or unresolved scientific conflicts are referred to the appropriate specialist AI agent.</w:t>
      </w:r>
    </w:p>
    <w:p>
      <w:pPr>
        <w:pStyle w:val="Heading1"/>
      </w:pPr>
      <w:r>
        <w:t>Core Functional Modules</w:t>
      </w:r>
    </w:p>
    <w:p>
      <w:pPr>
        <w:pStyle w:val="ListBullet"/>
      </w:pPr>
      <w:r>
        <w:t>QTPP Interpretation</w:t>
      </w:r>
    </w:p>
    <w:p>
      <w:pPr>
        <w:pStyle w:val="ListBullet"/>
      </w:pPr>
      <w:r>
        <w:t>CQA Identification</w:t>
      </w:r>
    </w:p>
    <w:p>
      <w:pPr>
        <w:pStyle w:val="ListBullet"/>
      </w:pPr>
      <w:r>
        <w:t>CMA Identification</w:t>
      </w:r>
    </w:p>
    <w:p>
      <w:pPr>
        <w:pStyle w:val="ListBullet"/>
      </w:pPr>
      <w:r>
        <w:t>CPP Identification</w:t>
      </w:r>
    </w:p>
    <w:p>
      <w:pPr>
        <w:pStyle w:val="ListBullet"/>
      </w:pPr>
      <w:r>
        <w:t>Risk Assessment Engine</w:t>
      </w:r>
    </w:p>
    <w:p>
      <w:pPr>
        <w:pStyle w:val="ListBullet"/>
      </w:pPr>
      <w:r>
        <w:t>Design of Experiments Planning</w:t>
      </w:r>
    </w:p>
    <w:p>
      <w:pPr>
        <w:pStyle w:val="ListBullet"/>
      </w:pPr>
      <w:r>
        <w:t>Control Strategy Development</w:t>
      </w:r>
    </w:p>
    <w:p>
      <w:pPr>
        <w:pStyle w:val="ListBullet"/>
      </w:pPr>
      <w:r>
        <w:t>Design Space Definition</w:t>
      </w:r>
    </w:p>
    <w:p>
      <w:pPr>
        <w:pStyle w:val="ListBullet"/>
      </w:pPr>
      <w:r>
        <w:t>Lifecycle Management</w:t>
      </w:r>
    </w:p>
    <w:p>
      <w:pPr>
        <w:pStyle w:val="ListBullet"/>
      </w:pPr>
      <w:r>
        <w:t>Executive Reporting</w:t>
      </w:r>
    </w:p>
    <w:p>
      <w:pPr>
        <w:pStyle w:val="Heading1"/>
      </w:pPr>
      <w:r>
        <w:t>Appendix 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QBD-01-01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QBD-01-02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QBD-01-03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QBD-01-04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QBD-01-05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QBD-01-06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QBD-01-07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QBD-01-08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QBD-02-01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QBD-02-02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QBD-02-03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QBD-02-04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QBD-02-05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QBD-02-06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QBD-02-07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QBD-02-08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QBD-03-01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QBD-03-02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QBD-03-03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QBD-03-04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QBD-03-05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QBD-03-06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QBD-03-07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QBD-03-08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QBD-04-01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QBD-04-02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QBD-04-03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QBD-04-04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QBD-04-05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QBD-04-06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QBD-04-07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QBD-04-08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QBD-05-01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QBD-05-02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QBD-05-03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QBD-05-04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QBD-05-05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QBD-05-06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QBD-05-07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QBD-05-08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QBD-06-01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QBD-06-02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QBD-06-03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QBD-06-04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QBD-06-05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QBD-06-06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QBD-06-07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QBD-06-08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QBD-07-01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QBD-07-02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QBD-07-03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QBD-07-04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QBD-07-05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QBD-07-06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QBD-07-07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QBD-07-08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QBD-08-01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QBD-08-02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QBD-08-03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QBD-08-04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QBD-08-05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QBD-08-06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QBD-08-07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QBD-08-08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QBD-09-01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QBD-09-02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QBD-09-03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QBD-09-04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QBD-09-05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QBD-09-06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QBD-09-07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QBD-09-08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10: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QBD-10-01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QBD-10-02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QBD-10-03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QBD-10-04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QBD-10-05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QBD-10-06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QBD-10-07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QBD-10-08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11: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QBD-11-01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QBD-11-02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QBD-11-03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QBD-11-04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QBD-11-05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QBD-11-06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QBD-11-07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QBD-11-08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12: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QBD-12-01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QBD-12-02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QBD-12-03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QBD-12-04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QBD-12-05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QBD-12-06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QBD-12-07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QBD-12-08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13: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QBD-13-01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QBD-13-02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QBD-13-03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QBD-13-04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QBD-13-05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QBD-13-06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QBD-13-07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QBD-13-08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14: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QBD-14-01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QBD-14-02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QBD-14-03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QBD-14-04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QBD-14-05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QBD-14-06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QBD-14-07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QBD-14-08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15: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QBD-15-01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QBD-15-02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QBD-15-03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QBD-15-04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QBD-15-05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QBD-15-06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QBD-15-07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QBD-15-08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16: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QBD-16-01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QBD-16-02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QBD-16-03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QBD-16-04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QBD-16-05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QBD-16-06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QBD-16-07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QBD-16-08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17: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QBD-17-01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QBD-17-02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QBD-17-03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QBD-17-04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QBD-17-05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QBD-17-06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QBD-17-07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QBD-17-08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18: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QBD-18-01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QBD-18-02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QBD-18-03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QBD-18-04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QBD-18-05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QBD-18-06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QBD-18-07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QBD-18-08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19: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QBD-19-01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QBD-19-02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QBD-19-03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QBD-19-04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QBD-19-05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QBD-19-06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QBD-19-07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QBD-19-08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20: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QBD-20-01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QBD-20-02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QBD-20-03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QBD-20-04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QBD-20-05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QBD-20-06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QBD-20-07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QBD-20-08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21: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QBD-21-01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QBD-21-02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QBD-21-03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QBD-21-04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QBD-21-05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QBD-21-06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QBD-21-07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QBD-21-08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22: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QBD-22-01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QBD-22-02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QBD-22-03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QBD-22-04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QBD-22-05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QBD-22-06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QBD-22-07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QBD-22-08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23: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QBD-23-01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QBD-23-02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QBD-23-03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QBD-23-04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QBD-23-05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QBD-23-06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QBD-23-07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QBD-23-08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24: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QBD-24-01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QBD-24-02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QBD-24-03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QBD-24-04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QBD-24-05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QBD-24-06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QBD-24-07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QBD-24-08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25: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QBD-25-01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QBD-25-02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QBD-25-03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QBD-25-04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QBD-25-05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QBD-25-06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QBD-25-07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QBD-25-08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26: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QBD-26-01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QBD-26-02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QBD-26-03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QBD-26-04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QBD-26-05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QBD-26-06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QBD-26-07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QBD-26-08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27: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QBD-27-01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QBD-27-02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QBD-27-03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QBD-27-04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QBD-27-05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QBD-27-06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QBD-27-07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QBD-27-08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28: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QBD-28-01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QBD-28-02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QBD-28-03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QBD-28-04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QBD-28-05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QBD-28-06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QBD-28-07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QBD-28-08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29: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QBD-29-01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QBD-29-02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QBD-29-03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QBD-29-04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QBD-29-05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QBD-29-06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QBD-29-07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QBD-29-08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p>
      <w:pPr>
        <w:pStyle w:val="Heading1"/>
      </w:pPr>
      <w:r>
        <w:t>Appendix 30: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QBD-30-01</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QBD-30-02</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QBD-30-03</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QBD-30-04</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QBD-30-05</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QBD-30-06</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QBD-30-07</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r>
        <w:tc>
          <w:tcPr>
            <w:tcW w:type="dxa" w:w="2160"/>
          </w:tcPr>
          <w:p>
            <w:r>
              <w:t>QBD-30-08</w:t>
            </w:r>
          </w:p>
        </w:tc>
        <w:tc>
          <w:tcPr>
            <w:tcW w:type="dxa" w:w="2160"/>
          </w:tcPr>
          <w:p>
            <w:r>
              <w:t>Agent shall establish and maintain a complete Quality by Design framework with traceable links between QTPP, CQAs, CMAs, CPPs and the control strategy.</w:t>
            </w:r>
          </w:p>
        </w:tc>
        <w:tc>
          <w:tcPr>
            <w:tcW w:type="dxa" w:w="2160"/>
          </w:tcPr>
          <w:p>
            <w:r>
              <w:t>Framework is complete, internally consistent, evidence-based and auditable.</w:t>
            </w:r>
          </w:p>
        </w:tc>
        <w:tc>
          <w:tcPr>
            <w:tcW w:type="dxa" w:w="2160"/>
          </w:tcPr>
          <w:p>
            <w:r>
              <w:t>High</w:t>
            </w:r>
          </w:p>
        </w:tc>
      </w:tr>
    </w:tbl>
    <w:p>
      <w:r>
        <w:t>Design Note: Every identified CQA should be traceable to the QTPP, every CQA should be linked to one or more CMAs and CPPs where applicable, and every risk control should map into the overall pharmaceutical control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