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Design Specification (SDS)</w:t>
        <w:br/>
        <w:t>AI Agent – Quality Assurance (QA) Expert</w:t>
        <w:br/>
        <w:t>Version 1.0</w:t>
      </w:r>
    </w:p>
    <w:p>
      <w:r>
        <w:t>This Software Design Specification defines the Quality Assurance (QA) Expert AI Agent for generic oral soft gelatin capsule development and GMP manufacture. The QA Expert governs the Pharmaceutical Quality System (PQS), ensuring that all development, manufacturing, testing and lifecycle activities comply with FDA 21 CFR Parts 210/211, EU GMP, ICH Q9/Q10/Q12 and internal quality standards. The agent acts as the primary quality governance authority across the AI ecosystem.</w:t>
      </w:r>
    </w:p>
    <w:p>
      <w:pPr>
        <w:pStyle w:val="Heading1"/>
      </w:pPr>
      <w:r>
        <w:t>1. Purpose</w:t>
      </w:r>
    </w:p>
    <w:p>
      <w:pPr>
        <w:pStyle w:val="ListBullet"/>
      </w:pPr>
      <w:r>
        <w:t>Govern the Pharmaceutical Quality System (PQS).</w:t>
      </w:r>
    </w:p>
    <w:p>
      <w:pPr>
        <w:pStyle w:val="ListBullet"/>
      </w:pPr>
      <w:r>
        <w:t>Ensure GMP compliance throughout the product lifecycle.</w:t>
      </w:r>
    </w:p>
    <w:p>
      <w:pPr>
        <w:pStyle w:val="ListBullet"/>
      </w:pPr>
      <w:r>
        <w:t>Provide independent quality oversight and risk-based decision support.</w:t>
      </w:r>
    </w:p>
    <w:p>
      <w:pPr>
        <w:pStyle w:val="ListBullet"/>
      </w:pPr>
      <w:r>
        <w:t>Maintain a state of inspection readiness.</w:t>
      </w:r>
    </w:p>
    <w:p>
      <w:pPr>
        <w:pStyle w:val="Heading2"/>
      </w:pPr>
      <w:r>
        <w:t>1. Purpose.1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1. Purpose.2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1. Purpose.3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1. Purpose.4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1. Purpose.5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1"/>
      </w:pPr>
      <w:r>
        <w:t>2. Scope</w:t>
      </w:r>
    </w:p>
    <w:p>
      <w:pPr>
        <w:pStyle w:val="ListBullet"/>
      </w:pPr>
      <w:r>
        <w:t>Applies from development through commercial manufacture and product discontinuation.</w:t>
      </w:r>
    </w:p>
    <w:p>
      <w:pPr>
        <w:pStyle w:val="ListBullet"/>
      </w:pPr>
      <w:r>
        <w:t>Interfaces with every scientific, manufacturing, validation, QC and regulatory AI agent.</w:t>
      </w:r>
    </w:p>
    <w:p>
      <w:pPr>
        <w:pStyle w:val="Heading2"/>
      </w:pPr>
      <w:r>
        <w:t>2. Scope.1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2. Scope.2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2. Scope.3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2. Scope.4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2. Scope.5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1"/>
      </w:pPr>
      <w:r>
        <w:t>3. Core Responsibilities</w:t>
      </w:r>
    </w:p>
    <w:p>
      <w:pPr>
        <w:pStyle w:val="ListBullet"/>
      </w:pPr>
      <w:r>
        <w:t>Manage document control and SOP governance.</w:t>
      </w:r>
    </w:p>
    <w:p>
      <w:pPr>
        <w:pStyle w:val="ListBullet"/>
      </w:pPr>
      <w:r>
        <w:t>Review deviations, investigations and CAPAs.</w:t>
      </w:r>
    </w:p>
    <w:p>
      <w:pPr>
        <w:pStyle w:val="ListBullet"/>
      </w:pPr>
      <w:r>
        <w:t>Oversee change control.</w:t>
      </w:r>
    </w:p>
    <w:p>
      <w:pPr>
        <w:pStyle w:val="ListBullet"/>
      </w:pPr>
      <w:r>
        <w:t>Manage quality risk management (ICH Q9).</w:t>
      </w:r>
    </w:p>
    <w:p>
      <w:pPr>
        <w:pStyle w:val="ListBullet"/>
      </w:pPr>
      <w:r>
        <w:t>Conduct internal audits and self-inspections.</w:t>
      </w:r>
    </w:p>
    <w:p>
      <w:pPr>
        <w:pStyle w:val="ListBullet"/>
      </w:pPr>
      <w:r>
        <w:t>Review batch records and support disposition.</w:t>
      </w:r>
    </w:p>
    <w:p>
      <w:pPr>
        <w:pStyle w:val="ListBullet"/>
      </w:pPr>
      <w:r>
        <w:t>Manage complaints, recalls and field actions.</w:t>
      </w:r>
    </w:p>
    <w:p>
      <w:pPr>
        <w:pStyle w:val="ListBullet"/>
      </w:pPr>
      <w:r>
        <w:t>Oversee supplier quality and qualification.</w:t>
      </w:r>
    </w:p>
    <w:p>
      <w:pPr>
        <w:pStyle w:val="ListBullet"/>
      </w:pPr>
      <w:r>
        <w:t>Prepare Product Quality Reviews (PQR/APR).</w:t>
      </w:r>
    </w:p>
    <w:p>
      <w:pPr>
        <w:pStyle w:val="ListBullet"/>
      </w:pPr>
      <w:r>
        <w:t>Coordinate management review and quality metrics.</w:t>
      </w:r>
    </w:p>
    <w:p>
      <w:pPr>
        <w:pStyle w:val="Heading2"/>
      </w:pPr>
      <w:r>
        <w:t>3. Core Responsibilities.1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3. Core Responsibilities.2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3. Core Responsibilities.3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3. Core Responsibilities.4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3. Core Responsibilities.5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1"/>
      </w:pPr>
      <w:r>
        <w:t>4. Regulatory Knowledge Base</w:t>
      </w:r>
    </w:p>
    <w:p>
      <w:pPr>
        <w:pStyle w:val="ListBullet"/>
      </w:pPr>
      <w:r>
        <w:t>FDA 21 CFR Parts 210/211.</w:t>
      </w:r>
    </w:p>
    <w:p>
      <w:pPr>
        <w:pStyle w:val="ListBullet"/>
      </w:pPr>
      <w:r>
        <w:t>EU GMP Parts I &amp; II and Annexes.</w:t>
      </w:r>
    </w:p>
    <w:p>
      <w:pPr>
        <w:pStyle w:val="ListBullet"/>
      </w:pPr>
      <w:r>
        <w:t>ICH Q9(R1), Q10, Q12.</w:t>
      </w:r>
    </w:p>
    <w:p>
      <w:pPr>
        <w:pStyle w:val="ListBullet"/>
      </w:pPr>
      <w:r>
        <w:t>FDA Data Integrity guidance.</w:t>
      </w:r>
    </w:p>
    <w:p>
      <w:pPr>
        <w:pStyle w:val="ListBullet"/>
      </w:pPr>
      <w:r>
        <w:t>PIC/S guidance.</w:t>
      </w:r>
    </w:p>
    <w:p>
      <w:pPr>
        <w:pStyle w:val="ListBullet"/>
      </w:pPr>
      <w:r>
        <w:t>ALCOA+ principles.</w:t>
      </w:r>
    </w:p>
    <w:p>
      <w:pPr>
        <w:pStyle w:val="ListBullet"/>
      </w:pPr>
      <w:r>
        <w:t>ISO 9001 concepts where applicable.</w:t>
      </w:r>
    </w:p>
    <w:p>
      <w:pPr>
        <w:pStyle w:val="Heading2"/>
      </w:pPr>
      <w:r>
        <w:t>4. Regulatory Knowledge Base.1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4. Regulatory Knowledge Base.2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4. Regulatory Knowledge Base.3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4. Regulatory Knowledge Base.4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4. Regulatory Knowledge Base.5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1"/>
      </w:pPr>
      <w:r>
        <w:t>5. Required Inputs</w:t>
      </w:r>
    </w:p>
    <w:p>
      <w:pPr>
        <w:pStyle w:val="ListBullet"/>
      </w:pPr>
      <w:r>
        <w:t>Batch records.</w:t>
      </w:r>
    </w:p>
    <w:p>
      <w:pPr>
        <w:pStyle w:val="ListBullet"/>
      </w:pPr>
      <w:r>
        <w:t>QC results.</w:t>
      </w:r>
    </w:p>
    <w:p>
      <w:pPr>
        <w:pStyle w:val="ListBullet"/>
      </w:pPr>
      <w:r>
        <w:t>Validation status.</w:t>
      </w:r>
    </w:p>
    <w:p>
      <w:pPr>
        <w:pStyle w:val="ListBullet"/>
      </w:pPr>
      <w:r>
        <w:t>Deviation records.</w:t>
      </w:r>
    </w:p>
    <w:p>
      <w:pPr>
        <w:pStyle w:val="ListBullet"/>
      </w:pPr>
      <w:r>
        <w:t>CAPAs.</w:t>
      </w:r>
    </w:p>
    <w:p>
      <w:pPr>
        <w:pStyle w:val="ListBullet"/>
      </w:pPr>
      <w:r>
        <w:t>Change controls.</w:t>
      </w:r>
    </w:p>
    <w:p>
      <w:pPr>
        <w:pStyle w:val="ListBullet"/>
      </w:pPr>
      <w:r>
        <w:t>Audit findings.</w:t>
      </w:r>
    </w:p>
    <w:p>
      <w:pPr>
        <w:pStyle w:val="ListBullet"/>
      </w:pPr>
      <w:r>
        <w:t>Supplier assessments.</w:t>
      </w:r>
    </w:p>
    <w:p>
      <w:pPr>
        <w:pStyle w:val="ListBullet"/>
      </w:pPr>
      <w:r>
        <w:t>Training records.</w:t>
      </w:r>
    </w:p>
    <w:p>
      <w:pPr>
        <w:pStyle w:val="ListBullet"/>
      </w:pPr>
      <w:r>
        <w:t>Regulatory observations.</w:t>
      </w:r>
    </w:p>
    <w:p>
      <w:pPr>
        <w:pStyle w:val="Heading2"/>
      </w:pPr>
      <w:r>
        <w:t>5. Required Inputs.1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5. Required Inputs.2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5. Required Inputs.3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5. Required Inputs.4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5. Required Inputs.5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1"/>
      </w:pPr>
      <w:r>
        <w:t>6. Primary Outputs</w:t>
      </w:r>
    </w:p>
    <w:p>
      <w:pPr>
        <w:pStyle w:val="ListBullet"/>
      </w:pPr>
      <w:r>
        <w:t>QA review reports.</w:t>
      </w:r>
    </w:p>
    <w:p>
      <w:pPr>
        <w:pStyle w:val="ListBullet"/>
      </w:pPr>
      <w:r>
        <w:t>Batch release recommendation.</w:t>
      </w:r>
    </w:p>
    <w:p>
      <w:pPr>
        <w:pStyle w:val="ListBullet"/>
      </w:pPr>
      <w:r>
        <w:t>Deviation/CAPA assessments.</w:t>
      </w:r>
    </w:p>
    <w:p>
      <w:pPr>
        <w:pStyle w:val="ListBullet"/>
      </w:pPr>
      <w:r>
        <w:t>Change control approvals.</w:t>
      </w:r>
    </w:p>
    <w:p>
      <w:pPr>
        <w:pStyle w:val="ListBullet"/>
      </w:pPr>
      <w:r>
        <w:t>Audit reports.</w:t>
      </w:r>
    </w:p>
    <w:p>
      <w:pPr>
        <w:pStyle w:val="ListBullet"/>
      </w:pPr>
      <w:r>
        <w:t>Inspection readiness assessments.</w:t>
      </w:r>
    </w:p>
    <w:p>
      <w:pPr>
        <w:pStyle w:val="ListBullet"/>
      </w:pPr>
      <w:r>
        <w:t>Quality metrics dashboard.</w:t>
      </w:r>
    </w:p>
    <w:p>
      <w:pPr>
        <w:pStyle w:val="ListBullet"/>
      </w:pPr>
      <w:r>
        <w:t>Annual Product Quality Review.</w:t>
      </w:r>
    </w:p>
    <w:p>
      <w:pPr>
        <w:pStyle w:val="Heading2"/>
      </w:pPr>
      <w:r>
        <w:t>6. Primary Outputs.1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6. Primary Outputs.2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6. Primary Outputs.3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6. Primary Outputs.4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6. Primary Outputs.5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1"/>
      </w:pPr>
      <w:r>
        <w:t>7. Quality Controls</w:t>
      </w:r>
    </w:p>
    <w:p>
      <w:pPr>
        <w:pStyle w:val="ListBullet"/>
      </w:pPr>
      <w:r>
        <w:t>Independent QA review.</w:t>
      </w:r>
    </w:p>
    <w:p>
      <w:pPr>
        <w:pStyle w:val="ListBullet"/>
      </w:pPr>
      <w:r>
        <w:t>GMP compliance verification.</w:t>
      </w:r>
    </w:p>
    <w:p>
      <w:pPr>
        <w:pStyle w:val="ListBullet"/>
      </w:pPr>
      <w:r>
        <w:t>Risk-based approval workflow.</w:t>
      </w:r>
    </w:p>
    <w:p>
      <w:pPr>
        <w:pStyle w:val="ListBullet"/>
      </w:pPr>
      <w:r>
        <w:t>Electronic audit trail review.</w:t>
      </w:r>
    </w:p>
    <w:p>
      <w:pPr>
        <w:pStyle w:val="ListBullet"/>
      </w:pPr>
      <w:r>
        <w:t>Version control.</w:t>
      </w:r>
    </w:p>
    <w:p>
      <w:pPr>
        <w:pStyle w:val="ListBullet"/>
      </w:pPr>
      <w:r>
        <w:t>Escalation governance.</w:t>
      </w:r>
    </w:p>
    <w:p>
      <w:pPr>
        <w:pStyle w:val="Heading2"/>
      </w:pPr>
      <w:r>
        <w:t>7. Quality Controls.1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7. Quality Controls.2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7. Quality Controls.3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7. Quality Controls.4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7. Quality Controls.5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1"/>
      </w:pPr>
      <w:r>
        <w:t>8. Validation Strategy</w:t>
      </w:r>
    </w:p>
    <w:p>
      <w:pPr>
        <w:pStyle w:val="ListBullet"/>
      </w:pPr>
      <w:r>
        <w:t>Rule-based governance.</w:t>
      </w:r>
    </w:p>
    <w:p>
      <w:pPr>
        <w:pStyle w:val="ListBullet"/>
      </w:pPr>
      <w:r>
        <w:t>Cross-agent verification.</w:t>
      </w:r>
    </w:p>
    <w:p>
      <w:pPr>
        <w:pStyle w:val="ListBullet"/>
      </w:pPr>
      <w:r>
        <w:t>Periodic regulatory updates.</w:t>
      </w:r>
    </w:p>
    <w:p>
      <w:pPr>
        <w:pStyle w:val="ListBullet"/>
      </w:pPr>
      <w:r>
        <w:t>Expert review.</w:t>
      </w:r>
    </w:p>
    <w:p>
      <w:pPr>
        <w:pStyle w:val="ListBullet"/>
      </w:pPr>
      <w:r>
        <w:t>Regression testing.</w:t>
      </w:r>
    </w:p>
    <w:p>
      <w:pPr>
        <w:pStyle w:val="Heading2"/>
      </w:pPr>
      <w:r>
        <w:t>8. Validation Strategy.1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8. Validation Strategy.2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8. Validation Strategy.3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8. Validation Strategy.4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2"/>
      </w:pPr>
      <w:r>
        <w:t>8. Validation Strategy.5 Detailed Design</w:t>
      </w:r>
    </w:p>
    <w:p>
      <w:r>
        <w:t>Objective: Maintain an effective Pharmaceutical Quality System using deterministic, risk-based governance.</w:t>
      </w:r>
    </w:p>
    <w:p>
      <w:r>
        <w:t>Inputs: Manufacturing, laboratory, validation, supplier, regulatory and quality management data.</w:t>
      </w:r>
    </w:p>
    <w:p>
      <w:r>
        <w:t>Processing: Evaluate compliance, identify quality risks, review evidence, determine required actions and document rationale.</w:t>
      </w:r>
    </w:p>
    <w:p>
      <w:r>
        <w:t>Outputs: Controlled QA decisions with complete traceability, confidence scores and audit history.</w:t>
      </w:r>
    </w:p>
    <w:p>
      <w:r>
        <w:t>Quality Assurance: Completeness checks, regulatory alignment, contradiction detection, audit logging and version control.</w:t>
      </w:r>
    </w:p>
    <w:p>
      <w:r>
        <w:t>Escalation: Critical GMP issues, data integrity concerns or patient safety risks require immediate escalation and formal investigation.</w:t>
      </w:r>
    </w:p>
    <w:p>
      <w:pPr>
        <w:pStyle w:val="Heading1"/>
      </w:pPr>
      <w:r>
        <w:t>Core Functional Modules</w:t>
      </w:r>
    </w:p>
    <w:p>
      <w:pPr>
        <w:pStyle w:val="ListBullet"/>
      </w:pPr>
      <w:r>
        <w:t>Pharmaceutical Quality System</w:t>
      </w:r>
    </w:p>
    <w:p>
      <w:pPr>
        <w:pStyle w:val="ListBullet"/>
      </w:pPr>
      <w:r>
        <w:t>Document Control</w:t>
      </w:r>
    </w:p>
    <w:p>
      <w:pPr>
        <w:pStyle w:val="ListBullet"/>
      </w:pPr>
      <w:r>
        <w:t>SOP Lifecycle Management</w:t>
      </w:r>
    </w:p>
    <w:p>
      <w:pPr>
        <w:pStyle w:val="ListBullet"/>
      </w:pPr>
      <w:r>
        <w:t>Deviation Management</w:t>
      </w:r>
    </w:p>
    <w:p>
      <w:pPr>
        <w:pStyle w:val="ListBullet"/>
      </w:pPr>
      <w:r>
        <w:t>CAPA Management</w:t>
      </w:r>
    </w:p>
    <w:p>
      <w:pPr>
        <w:pStyle w:val="ListBullet"/>
      </w:pPr>
      <w:r>
        <w:t>Change Control</w:t>
      </w:r>
    </w:p>
    <w:p>
      <w:pPr>
        <w:pStyle w:val="ListBullet"/>
      </w:pPr>
      <w:r>
        <w:t>Quality Risk Management</w:t>
      </w:r>
    </w:p>
    <w:p>
      <w:pPr>
        <w:pStyle w:val="ListBullet"/>
      </w:pPr>
      <w:r>
        <w:t>Internal Audits</w:t>
      </w:r>
    </w:p>
    <w:p>
      <w:pPr>
        <w:pStyle w:val="ListBullet"/>
      </w:pPr>
      <w:r>
        <w:t>Self-Inspection</w:t>
      </w:r>
    </w:p>
    <w:p>
      <w:pPr>
        <w:pStyle w:val="ListBullet"/>
      </w:pPr>
      <w:r>
        <w:t>Supplier Quality</w:t>
      </w:r>
    </w:p>
    <w:p>
      <w:pPr>
        <w:pStyle w:val="ListBullet"/>
      </w:pPr>
      <w:r>
        <w:t>Training Compliance</w:t>
      </w:r>
    </w:p>
    <w:p>
      <w:pPr>
        <w:pStyle w:val="ListBullet"/>
      </w:pPr>
      <w:r>
        <w:t>Batch Record Review</w:t>
      </w:r>
    </w:p>
    <w:p>
      <w:pPr>
        <w:pStyle w:val="ListBullet"/>
      </w:pPr>
      <w:r>
        <w:t>Batch Release Support</w:t>
      </w:r>
    </w:p>
    <w:p>
      <w:pPr>
        <w:pStyle w:val="ListBullet"/>
      </w:pPr>
      <w:r>
        <w:t>Complaint Management</w:t>
      </w:r>
    </w:p>
    <w:p>
      <w:pPr>
        <w:pStyle w:val="ListBullet"/>
      </w:pPr>
      <w:r>
        <w:t>Recall &amp; Field Actions</w:t>
      </w:r>
    </w:p>
    <w:p>
      <w:pPr>
        <w:pStyle w:val="ListBullet"/>
      </w:pPr>
      <w:r>
        <w:t>Product Quality Review (PQR/APR)</w:t>
      </w:r>
    </w:p>
    <w:p>
      <w:pPr>
        <w:pStyle w:val="ListBullet"/>
      </w:pPr>
      <w:r>
        <w:t>Management Review</w:t>
      </w:r>
    </w:p>
    <w:p>
      <w:pPr>
        <w:pStyle w:val="ListBullet"/>
      </w:pPr>
      <w:r>
        <w:t>Quality Metrics</w:t>
      </w:r>
    </w:p>
    <w:p>
      <w:pPr>
        <w:pStyle w:val="ListBullet"/>
      </w:pPr>
      <w:r>
        <w:t>Data Integrity Governance</w:t>
      </w:r>
    </w:p>
    <w:p>
      <w:pPr>
        <w:pStyle w:val="ListBullet"/>
      </w:pPr>
      <w:r>
        <w:t>Inspection Readiness</w:t>
      </w:r>
    </w:p>
    <w:p>
      <w:pPr>
        <w:pStyle w:val="ListBullet"/>
      </w:pPr>
      <w:r>
        <w:t>Continuous Improvement</w:t>
      </w:r>
    </w:p>
    <w:p>
      <w:pPr>
        <w:pStyle w:val="ListBullet"/>
      </w:pPr>
      <w:r>
        <w:t>Quality Culture</w:t>
      </w:r>
    </w:p>
    <w:p>
      <w:pPr>
        <w:pStyle w:val="Heading1"/>
      </w:pPr>
      <w:r>
        <w:t>Decision Engines</w:t>
      </w:r>
    </w:p>
    <w:p>
      <w:pPr>
        <w:pStyle w:val="ListBullet"/>
      </w:pPr>
      <w:r>
        <w:t>GMP compliance assessment</w:t>
      </w:r>
    </w:p>
    <w:p>
      <w:pPr>
        <w:pStyle w:val="ListBullet"/>
      </w:pPr>
      <w:r>
        <w:t>Deviation classification</w:t>
      </w:r>
    </w:p>
    <w:p>
      <w:pPr>
        <w:pStyle w:val="ListBullet"/>
      </w:pPr>
      <w:r>
        <w:t>CAPA effectiveness</w:t>
      </w:r>
    </w:p>
    <w:p>
      <w:pPr>
        <w:pStyle w:val="ListBullet"/>
      </w:pPr>
      <w:r>
        <w:t>Change impact assessment</w:t>
      </w:r>
    </w:p>
    <w:p>
      <w:pPr>
        <w:pStyle w:val="ListBullet"/>
      </w:pPr>
      <w:r>
        <w:t>Batch release readiness</w:t>
      </w:r>
    </w:p>
    <w:p>
      <w:pPr>
        <w:pStyle w:val="ListBullet"/>
      </w:pPr>
      <w:r>
        <w:t>Supplier approval</w:t>
      </w:r>
    </w:p>
    <w:p>
      <w:pPr>
        <w:pStyle w:val="ListBullet"/>
      </w:pPr>
      <w:r>
        <w:t>Inspection readiness</w:t>
      </w:r>
    </w:p>
    <w:p>
      <w:pPr>
        <w:pStyle w:val="ListBullet"/>
      </w:pPr>
      <w:r>
        <w:t>Recall decision support</w:t>
      </w:r>
    </w:p>
    <w:p>
      <w:pPr>
        <w:pStyle w:val="ListBullet"/>
      </w:pPr>
      <w:r>
        <w:t>Risk prioritisation</w:t>
      </w:r>
    </w:p>
    <w:p>
      <w:pPr>
        <w:pStyle w:val="ListBullet"/>
      </w:pPr>
      <w:r>
        <w:t>Management review recommendations</w:t>
      </w:r>
    </w:p>
    <w:p>
      <w:pPr>
        <w:pStyle w:val="Heading1"/>
      </w:pPr>
      <w:r>
        <w:t>Appendix 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QA-01-01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QA-01-02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QA-01-03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QA-01-04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QA-01-05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QA-01-06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QA-01-07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QA-01-08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QA-02-01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QA-02-02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QA-02-03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QA-02-04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QA-02-05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QA-02-06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QA-02-07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QA-02-08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QA-03-01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QA-03-02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QA-03-03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QA-03-04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QA-03-05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QA-03-06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QA-03-07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QA-03-08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QA-04-01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QA-04-02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QA-04-03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QA-04-04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QA-04-05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QA-04-06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QA-04-07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QA-04-08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QA-05-01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QA-05-02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QA-05-03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QA-05-04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QA-05-05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QA-05-06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QA-05-07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QA-05-08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QA-06-01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QA-06-02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QA-06-03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QA-06-04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QA-06-05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QA-06-06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QA-06-07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QA-06-08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QA-07-01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QA-07-02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QA-07-03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QA-07-04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QA-07-05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QA-07-06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QA-07-07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QA-07-08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QA-08-01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QA-08-02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QA-08-03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QA-08-04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QA-08-05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QA-08-06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QA-08-07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QA-08-08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QA-09-01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QA-09-02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QA-09-03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QA-09-04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QA-09-05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QA-09-06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QA-09-07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QA-09-08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10: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QA-10-01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QA-10-02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QA-10-03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QA-10-04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QA-10-05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QA-10-06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QA-10-07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QA-10-08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11: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QA-11-01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QA-11-02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QA-11-03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QA-11-04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QA-11-05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QA-11-06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QA-11-07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QA-11-08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12: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QA-12-01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QA-12-02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QA-12-03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QA-12-04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QA-12-05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QA-12-06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QA-12-07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QA-12-08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13: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QA-13-01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QA-13-02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QA-13-03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QA-13-04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QA-13-05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QA-13-06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QA-13-07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QA-13-08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14: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QA-14-01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QA-14-02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QA-14-03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QA-14-04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QA-14-05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QA-14-06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QA-14-07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QA-14-08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15: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QA-15-01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QA-15-02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QA-15-03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QA-15-04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QA-15-05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QA-15-06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QA-15-07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QA-15-08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16: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QA-16-01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QA-16-02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QA-16-03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QA-16-04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QA-16-05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QA-16-06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QA-16-07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QA-16-08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17: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QA-17-01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QA-17-02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QA-17-03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QA-17-04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QA-17-05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QA-17-06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QA-17-07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QA-17-08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18: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QA-18-01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QA-18-02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QA-18-03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QA-18-04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QA-18-05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QA-18-06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QA-18-07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QA-18-08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19: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QA-19-01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QA-19-02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QA-19-03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QA-19-04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QA-19-05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QA-19-06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QA-19-07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QA-19-08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20: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QA-20-01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QA-20-02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QA-20-03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QA-20-04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QA-20-05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QA-20-06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QA-20-07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QA-20-08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21: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QA-21-01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QA-21-02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QA-21-03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QA-21-04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QA-21-05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QA-21-06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QA-21-07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QA-21-08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22: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QA-22-01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QA-22-02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QA-22-03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QA-22-04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QA-22-05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QA-22-06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QA-22-07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QA-22-08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23: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QA-23-01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QA-23-02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QA-23-03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QA-23-04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QA-23-05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QA-23-06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QA-23-07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QA-23-08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24: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QA-24-01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QA-24-02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QA-24-03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QA-24-04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QA-24-05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QA-24-06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QA-24-07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QA-24-08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25: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QA-25-01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QA-25-02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QA-25-03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QA-25-04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QA-25-05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QA-25-06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QA-25-07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QA-25-08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26: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QA-26-01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QA-26-02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QA-26-03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QA-26-04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QA-26-05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QA-26-06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QA-26-07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QA-26-08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27: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QA-27-01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QA-27-02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QA-27-03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QA-27-04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QA-27-05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QA-27-06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QA-27-07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QA-27-08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28: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QA-28-01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QA-28-02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QA-28-03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QA-28-04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QA-28-05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QA-28-06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QA-28-07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QA-28-08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29: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QA-29-01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QA-29-02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QA-29-03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QA-29-04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QA-29-05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QA-29-06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QA-29-07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QA-29-08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p>
      <w:pPr>
        <w:pStyle w:val="Heading1"/>
      </w:pPr>
      <w:r>
        <w:t>Appendix 30: Functional Requirement Set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Description</w:t>
            </w:r>
          </w:p>
        </w:tc>
        <w:tc>
          <w:tcPr>
            <w:tcW w:type="dxa" w:w="2160"/>
          </w:tcPr>
          <w:p>
            <w:r>
              <w:t>Acceptance Criteria</w:t>
            </w:r>
          </w:p>
        </w:tc>
        <w:tc>
          <w:tcPr>
            <w:tcW w:type="dxa" w:w="2160"/>
          </w:tcPr>
          <w:p>
            <w:r>
              <w:t>Priority</w:t>
            </w:r>
          </w:p>
        </w:tc>
      </w:tr>
      <w:tr>
        <w:tc>
          <w:tcPr>
            <w:tcW w:type="dxa" w:w="2160"/>
          </w:tcPr>
          <w:p>
            <w:r>
              <w:t>QA-30-01</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QA-30-02</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QA-30-03</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QA-30-04</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QA-30-05</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QA-30-06</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QA-30-07</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r>
        <w:tc>
          <w:tcPr>
            <w:tcW w:type="dxa" w:w="2160"/>
          </w:tcPr>
          <w:p>
            <w:r>
              <w:t>QA-30-08</w:t>
            </w:r>
          </w:p>
        </w:tc>
        <w:tc>
          <w:tcPr>
            <w:tcW w:type="dxa" w:w="2160"/>
          </w:tcPr>
          <w:p>
            <w:r>
              <w:t>Agent shall govern the Pharmaceutical Quality System, ensuring GMP compliance, risk-based oversight and lifecycle quality management.</w:t>
            </w:r>
          </w:p>
        </w:tc>
        <w:tc>
          <w:tcPr>
            <w:tcW w:type="dxa" w:w="2160"/>
          </w:tcPr>
          <w:p>
            <w:r>
              <w:t>Decisions are evidence-based, traceable, compliant and inspection-ready.</w:t>
            </w:r>
          </w:p>
        </w:tc>
        <w:tc>
          <w:tcPr>
            <w:tcW w:type="dxa" w:w="2160"/>
          </w:tcPr>
          <w:p>
            <w:r>
              <w:t>High</w:t>
            </w:r>
          </w:p>
        </w:tc>
      </w:tr>
    </w:tbl>
    <w:p>
      <w:r>
        <w:t>Design Note: Every QA decision should be linked to the relevant SOPs, regulations, risk assessments, deviations, CAPAs, change controls, training records and management approvals. The agent should preserve a complete quality history and provide impact assessments for all significant quality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