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Regulatory Intelligence Expert</w:t>
        <w:br/>
        <w:t>Version 1.0</w:t>
      </w:r>
    </w:p>
    <w:p>
      <w:r>
        <w:t>This Software Design Specification (SDS) defines the Regulatory Intelligence Expert AI Agent for generic oral soft gelatin capsule development. The agent continuously monitors, interprets and applies global regulatory requirements, guidance documents and emerging expectations to ensure that development, manufacturing, validation and lifecycle activities remain aligned with current FDA, EMA, MHRA, ICH and other applicable regulatory authority requirements.</w:t>
      </w:r>
    </w:p>
    <w:p>
      <w:pPr>
        <w:pStyle w:val="Heading1"/>
      </w:pPr>
      <w:r>
        <w:t>1. Purpose</w:t>
      </w:r>
    </w:p>
    <w:p>
      <w:pPr>
        <w:pStyle w:val="ListBullet"/>
      </w:pPr>
      <w:r>
        <w:t>Provide authoritative regulatory intelligence.</w:t>
      </w:r>
    </w:p>
    <w:p>
      <w:pPr>
        <w:pStyle w:val="ListBullet"/>
      </w:pPr>
      <w:r>
        <w:t>Continuously monitor changes in global regulatory requirements.</w:t>
      </w:r>
    </w:p>
    <w:p>
      <w:pPr>
        <w:pStyle w:val="ListBullet"/>
      </w:pPr>
      <w:r>
        <w:t>Translate regulatory changes into actionable development recommendations.</w:t>
      </w:r>
    </w:p>
    <w:p>
      <w:pPr>
        <w:pStyle w:val="ListBullet"/>
      </w:pPr>
      <w:r>
        <w:t>Support globally compliant product development and submissions.</w:t>
      </w:r>
    </w:p>
    <w:p>
      <w:pPr>
        <w:pStyle w:val="Heading2"/>
      </w:pPr>
      <w:r>
        <w:t>1. Purpose.1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1. Purpose.2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1. Purpose.3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1. Purpose.4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1. Purpose.5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2. Scope</w:t>
      </w:r>
    </w:p>
    <w:p>
      <w:pPr>
        <w:pStyle w:val="ListBullet"/>
      </w:pPr>
      <w:r>
        <w:t>Supports product selection through post-approval lifecycle management.</w:t>
      </w:r>
    </w:p>
    <w:p>
      <w:pPr>
        <w:pStyle w:val="ListBullet"/>
      </w:pPr>
      <w:r>
        <w:t>Interfaces with all scientific, quality, manufacturing and regulatory AI agents.</w:t>
      </w:r>
    </w:p>
    <w:p>
      <w:pPr>
        <w:pStyle w:val="Heading2"/>
      </w:pPr>
      <w:r>
        <w:t>2. Scope.1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2. Scope.2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2. Scope.3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2. Scope.4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2. Scope.5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3. Core Responsibilities</w:t>
      </w:r>
    </w:p>
    <w:p>
      <w:pPr>
        <w:pStyle w:val="ListBullet"/>
      </w:pPr>
      <w:r>
        <w:t>Monitor FDA, EMA, MHRA, Health Canada, PMDA, TGA and WHO guidance.</w:t>
      </w:r>
    </w:p>
    <w:p>
      <w:pPr>
        <w:pStyle w:val="ListBullet"/>
      </w:pPr>
      <w:r>
        <w:t>Track ICH guideline revisions.</w:t>
      </w:r>
    </w:p>
    <w:p>
      <w:pPr>
        <w:pStyle w:val="ListBullet"/>
      </w:pPr>
      <w:r>
        <w:t>Maintain regulatory knowledge base.</w:t>
      </w:r>
    </w:p>
    <w:p>
      <w:pPr>
        <w:pStyle w:val="ListBullet"/>
      </w:pPr>
      <w:r>
        <w:t>Interpret Product Specific Guidances (PSGs).</w:t>
      </w:r>
    </w:p>
    <w:p>
      <w:pPr>
        <w:pStyle w:val="ListBullet"/>
      </w:pPr>
      <w:r>
        <w:t>Identify regulatory risks and submission impacts.</w:t>
      </w:r>
    </w:p>
    <w:p>
      <w:pPr>
        <w:pStyle w:val="ListBullet"/>
      </w:pPr>
      <w:r>
        <w:t>Recommend development strategies for ANDA, DCP, MRP and national submissions.</w:t>
      </w:r>
    </w:p>
    <w:p>
      <w:pPr>
        <w:pStyle w:val="ListBullet"/>
      </w:pPr>
      <w:r>
        <w:t>Generate regulatory gap assessments.</w:t>
      </w:r>
    </w:p>
    <w:p>
      <w:pPr>
        <w:pStyle w:val="ListBullet"/>
      </w:pPr>
      <w:r>
        <w:t>Support responses to regulatory deficiencies.</w:t>
      </w:r>
    </w:p>
    <w:p>
      <w:pPr>
        <w:pStyle w:val="Heading2"/>
      </w:pPr>
      <w:r>
        <w:t>3. Core Responsibilities.1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3. Core Responsibilities.2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3. Core Responsibilities.3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3. Core Responsibilities.4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3. Core Responsibilities.5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4. Regulatory Knowledge Base</w:t>
      </w:r>
    </w:p>
    <w:p>
      <w:pPr>
        <w:pStyle w:val="ListBullet"/>
      </w:pPr>
      <w:r>
        <w:t>FDA 21 CFR Parts 210, 211 and applicable Part 11 principles.</w:t>
      </w:r>
    </w:p>
    <w:p>
      <w:pPr>
        <w:pStyle w:val="ListBullet"/>
      </w:pPr>
      <w:r>
        <w:t>FDA Orange Book and Product Specific Guidances.</w:t>
      </w:r>
    </w:p>
    <w:p>
      <w:pPr>
        <w:pStyle w:val="ListBullet"/>
      </w:pPr>
      <w:r>
        <w:t>FDA Guidance for Industry documents.</w:t>
      </w:r>
    </w:p>
    <w:p>
      <w:pPr>
        <w:pStyle w:val="ListBullet"/>
      </w:pPr>
      <w:r>
        <w:t>EMA guidelines and reflection papers.</w:t>
      </w:r>
    </w:p>
    <w:p>
      <w:pPr>
        <w:pStyle w:val="ListBullet"/>
      </w:pPr>
      <w:r>
        <w:t>EU GMP including Annexes.</w:t>
      </w:r>
    </w:p>
    <w:p>
      <w:pPr>
        <w:pStyle w:val="ListBullet"/>
      </w:pPr>
      <w:r>
        <w:t>ICH Q, M, E and S guideline families.</w:t>
      </w:r>
    </w:p>
    <w:p>
      <w:pPr>
        <w:pStyle w:val="ListBullet"/>
      </w:pPr>
      <w:r>
        <w:t>USP, Ph. Eur., BP and JP.</w:t>
      </w:r>
    </w:p>
    <w:p>
      <w:pPr>
        <w:pStyle w:val="ListBullet"/>
      </w:pPr>
      <w:r>
        <w:t>Regional authority guidance (MHRA, PMDA, Health Canada, TGA).</w:t>
      </w:r>
    </w:p>
    <w:p>
      <w:pPr>
        <w:pStyle w:val="Heading2"/>
      </w:pPr>
      <w:r>
        <w:t>4. Regulatory Knowledge Base.1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4. Regulatory Knowledge Base.2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4. Regulatory Knowledge Base.3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4. Regulatory Knowledge Base.4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4. Regulatory Knowledge Base.5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5. Required Inputs</w:t>
      </w:r>
    </w:p>
    <w:p>
      <w:pPr>
        <w:pStyle w:val="ListBullet"/>
      </w:pPr>
      <w:r>
        <w:t>Target markets.</w:t>
      </w:r>
    </w:p>
    <w:p>
      <w:pPr>
        <w:pStyle w:val="ListBullet"/>
      </w:pPr>
      <w:r>
        <w:t>Reference product information.</w:t>
      </w:r>
    </w:p>
    <w:p>
      <w:pPr>
        <w:pStyle w:val="ListBullet"/>
      </w:pPr>
      <w:r>
        <w:t>QTPP and development strategy.</w:t>
      </w:r>
    </w:p>
    <w:p>
      <w:pPr>
        <w:pStyle w:val="ListBullet"/>
      </w:pPr>
      <w:r>
        <w:t>CMC data.</w:t>
      </w:r>
    </w:p>
    <w:p>
      <w:pPr>
        <w:pStyle w:val="ListBullet"/>
      </w:pPr>
      <w:r>
        <w:t>Validation status.</w:t>
      </w:r>
    </w:p>
    <w:p>
      <w:pPr>
        <w:pStyle w:val="ListBullet"/>
      </w:pPr>
      <w:r>
        <w:t>Clinical and bioequivalence strategy.</w:t>
      </w:r>
    </w:p>
    <w:p>
      <w:pPr>
        <w:pStyle w:val="ListBullet"/>
      </w:pPr>
      <w:r>
        <w:t>Health authority correspondence.</w:t>
      </w:r>
    </w:p>
    <w:p>
      <w:pPr>
        <w:pStyle w:val="Heading2"/>
      </w:pPr>
      <w:r>
        <w:t>5. Required Inputs.1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5. Required Inputs.2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5. Required Inputs.3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5. Required Inputs.4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5. Required Inputs.5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6. Primary Outputs</w:t>
      </w:r>
    </w:p>
    <w:p>
      <w:pPr>
        <w:pStyle w:val="ListBullet"/>
      </w:pPr>
      <w:r>
        <w:t>Regulatory Intelligence Report.</w:t>
      </w:r>
    </w:p>
    <w:p>
      <w:pPr>
        <w:pStyle w:val="ListBullet"/>
      </w:pPr>
      <w:r>
        <w:t>Applicable guidance register.</w:t>
      </w:r>
    </w:p>
    <w:p>
      <w:pPr>
        <w:pStyle w:val="ListBullet"/>
      </w:pPr>
      <w:r>
        <w:t>Regulatory gap assessment.</w:t>
      </w:r>
    </w:p>
    <w:p>
      <w:pPr>
        <w:pStyle w:val="ListBullet"/>
      </w:pPr>
      <w:r>
        <w:t>Submission pathway recommendation.</w:t>
      </w:r>
    </w:p>
    <w:p>
      <w:pPr>
        <w:pStyle w:val="ListBullet"/>
      </w:pPr>
      <w:r>
        <w:t>Health authority requirements matrix.</w:t>
      </w:r>
    </w:p>
    <w:p>
      <w:pPr>
        <w:pStyle w:val="ListBullet"/>
      </w:pPr>
      <w:r>
        <w:t>Regulatory risk register.</w:t>
      </w:r>
    </w:p>
    <w:p>
      <w:pPr>
        <w:pStyle w:val="ListBullet"/>
      </w:pPr>
      <w:r>
        <w:t>Impact assessments following regulatory changes.</w:t>
      </w:r>
    </w:p>
    <w:p>
      <w:pPr>
        <w:pStyle w:val="Heading2"/>
      </w:pPr>
      <w:r>
        <w:t>6. Primary Outputs.1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6. Primary Outputs.2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6. Primary Outputs.3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6. Primary Outputs.4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6. Primary Outputs.5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7. Quality Controls</w:t>
      </w:r>
    </w:p>
    <w:p>
      <w:pPr>
        <w:pStyle w:val="ListBullet"/>
      </w:pPr>
      <w:r>
        <w:t>Source authenticity verification.</w:t>
      </w:r>
    </w:p>
    <w:p>
      <w:pPr>
        <w:pStyle w:val="ListBullet"/>
      </w:pPr>
      <w:r>
        <w:t>Document version control.</w:t>
      </w:r>
    </w:p>
    <w:p>
      <w:pPr>
        <w:pStyle w:val="ListBullet"/>
      </w:pPr>
      <w:r>
        <w:t>Duplicate and conflict detection.</w:t>
      </w:r>
    </w:p>
    <w:p>
      <w:pPr>
        <w:pStyle w:val="ListBullet"/>
      </w:pPr>
      <w:r>
        <w:t>Citation of authoritative references.</w:t>
      </w:r>
    </w:p>
    <w:p>
      <w:pPr>
        <w:pStyle w:val="ListBullet"/>
      </w:pPr>
      <w:r>
        <w:t>Audit trail and traceability.</w:t>
      </w:r>
    </w:p>
    <w:p>
      <w:pPr>
        <w:pStyle w:val="Heading2"/>
      </w:pPr>
      <w:r>
        <w:t>7. Quality Controls.1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7. Quality Controls.2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7. Quality Controls.3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7. Quality Controls.4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7. Quality Controls.5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8. Validation Strategy</w:t>
      </w:r>
    </w:p>
    <w:p>
      <w:pPr>
        <w:pStyle w:val="ListBullet"/>
      </w:pPr>
      <w:r>
        <w:t>Verification against official publications.</w:t>
      </w:r>
    </w:p>
    <w:p>
      <w:pPr>
        <w:pStyle w:val="ListBullet"/>
      </w:pPr>
      <w:r>
        <w:t>Cross-agent consistency checks.</w:t>
      </w:r>
    </w:p>
    <w:p>
      <w:pPr>
        <w:pStyle w:val="ListBullet"/>
      </w:pPr>
      <w:r>
        <w:t>Expert review.</w:t>
      </w:r>
    </w:p>
    <w:p>
      <w:pPr>
        <w:pStyle w:val="ListBullet"/>
      </w:pPr>
      <w:r>
        <w:t>Periodic knowledge-base refresh.</w:t>
      </w:r>
    </w:p>
    <w:p>
      <w:pPr>
        <w:pStyle w:val="ListBullet"/>
      </w:pPr>
      <w:r>
        <w:t>Regression testing.</w:t>
      </w:r>
    </w:p>
    <w:p>
      <w:pPr>
        <w:pStyle w:val="Heading2"/>
      </w:pPr>
      <w:r>
        <w:t>8. Validation Strategy.1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8. Validation Strategy.2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8. Validation Strategy.3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8. Validation Strategy.4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2"/>
      </w:pPr>
      <w:r>
        <w:t>8. Validation Strategy.5 Detailed Design</w:t>
      </w:r>
    </w:p>
    <w:p>
      <w:r>
        <w:t>Objective: Maintain an accurate and current regulatory knowledge base using authoritative sources.</w:t>
      </w:r>
    </w:p>
    <w:p>
      <w:r>
        <w:t>Inputs: Official guidance documents, legislation, pharmacopoeias, inspection findings and regulatory communications.</w:t>
      </w:r>
    </w:p>
    <w:p>
      <w:r>
        <w:t>Processing: Monitor changes, classify relevance, assess impact, notify dependent agents and document rationale.</w:t>
      </w:r>
    </w:p>
    <w:p>
      <w:r>
        <w:t>Outputs: Controlled regulatory intelligence with confidence scores, citations and implementation recommendations.</w:t>
      </w:r>
    </w:p>
    <w:p>
      <w:r>
        <w:t>Quality Assurance: Source validation, completeness checks, contradiction detection, version control and audit logging.</w:t>
      </w:r>
    </w:p>
    <w:p>
      <w:r>
        <w:t>Escalation: Significant regulatory changes or conflicting guidance are escalated for expert review before implementation.</w:t>
      </w:r>
    </w:p>
    <w:p>
      <w:pPr>
        <w:pStyle w:val="Heading1"/>
      </w:pPr>
      <w:r>
        <w:t>Core Functional Modules</w:t>
      </w:r>
    </w:p>
    <w:p>
      <w:pPr>
        <w:pStyle w:val="ListBullet"/>
      </w:pPr>
      <w:r>
        <w:t>Regulatory Surveillance</w:t>
      </w:r>
    </w:p>
    <w:p>
      <w:pPr>
        <w:pStyle w:val="ListBullet"/>
      </w:pPr>
      <w:r>
        <w:t>Guideline Classification</w:t>
      </w:r>
    </w:p>
    <w:p>
      <w:pPr>
        <w:pStyle w:val="ListBullet"/>
      </w:pPr>
      <w:r>
        <w:t>FDA PSG Interpreter</w:t>
      </w:r>
    </w:p>
    <w:p>
      <w:pPr>
        <w:pStyle w:val="ListBullet"/>
      </w:pPr>
      <w:r>
        <w:t>Orange Book Monitoring</w:t>
      </w:r>
    </w:p>
    <w:p>
      <w:pPr>
        <w:pStyle w:val="ListBullet"/>
      </w:pPr>
      <w:r>
        <w:t>ICH Change Detection</w:t>
      </w:r>
    </w:p>
    <w:p>
      <w:pPr>
        <w:pStyle w:val="ListBullet"/>
      </w:pPr>
      <w:r>
        <w:t>EU GMP Monitoring</w:t>
      </w:r>
    </w:p>
    <w:p>
      <w:pPr>
        <w:pStyle w:val="ListBullet"/>
      </w:pPr>
      <w:r>
        <w:t>Pharmacopoeial Monitoring</w:t>
      </w:r>
    </w:p>
    <w:p>
      <w:pPr>
        <w:pStyle w:val="ListBullet"/>
      </w:pPr>
      <w:r>
        <w:t>Submission Pathway Advisor</w:t>
      </w:r>
    </w:p>
    <w:p>
      <w:pPr>
        <w:pStyle w:val="ListBullet"/>
      </w:pPr>
      <w:r>
        <w:t>Regulatory Gap Assessment</w:t>
      </w:r>
    </w:p>
    <w:p>
      <w:pPr>
        <w:pStyle w:val="ListBullet"/>
      </w:pPr>
      <w:r>
        <w:t>Authority Question Response Support</w:t>
      </w:r>
    </w:p>
    <w:p>
      <w:pPr>
        <w:pStyle w:val="ListBullet"/>
      </w:pPr>
      <w:r>
        <w:t>Impact Assessment Engine</w:t>
      </w:r>
    </w:p>
    <w:p>
      <w:pPr>
        <w:pStyle w:val="ListBullet"/>
      </w:pPr>
      <w:r>
        <w:t>Knowledge Base Governance</w:t>
      </w:r>
    </w:p>
    <w:p>
      <w:pPr>
        <w:pStyle w:val="ListBullet"/>
      </w:pPr>
      <w:r>
        <w:t>Global Market Comparison</w:t>
      </w:r>
    </w:p>
    <w:p>
      <w:pPr>
        <w:pStyle w:val="ListBullet"/>
      </w:pPr>
      <w:r>
        <w:t>Inspection Trend Analysis</w:t>
      </w:r>
    </w:p>
    <w:p>
      <w:pPr>
        <w:pStyle w:val="ListBullet"/>
      </w:pPr>
      <w:r>
        <w:t>Executive Reporting</w:t>
      </w:r>
    </w:p>
    <w:p>
      <w:pPr>
        <w:pStyle w:val="Heading1"/>
      </w:pPr>
      <w:r>
        <w:t>Decision Engines</w:t>
      </w:r>
    </w:p>
    <w:p>
      <w:pPr>
        <w:pStyle w:val="ListBullet"/>
      </w:pPr>
      <w:r>
        <w:t>Applicable guidance selection</w:t>
      </w:r>
    </w:p>
    <w:p>
      <w:pPr>
        <w:pStyle w:val="ListBullet"/>
      </w:pPr>
      <w:r>
        <w:t>Submission pathway selection</w:t>
      </w:r>
    </w:p>
    <w:p>
      <w:pPr>
        <w:pStyle w:val="ListBullet"/>
      </w:pPr>
      <w:r>
        <w:t>Market-specific requirement comparison</w:t>
      </w:r>
    </w:p>
    <w:p>
      <w:pPr>
        <w:pStyle w:val="ListBullet"/>
      </w:pPr>
      <w:r>
        <w:t>Regulatory change impact assessment</w:t>
      </w:r>
    </w:p>
    <w:p>
      <w:pPr>
        <w:pStyle w:val="ListBullet"/>
      </w:pPr>
      <w:r>
        <w:t>Risk prioritisation</w:t>
      </w:r>
    </w:p>
    <w:p>
      <w:pPr>
        <w:pStyle w:val="ListBullet"/>
      </w:pPr>
      <w:r>
        <w:t>Inspection readiness assessment</w:t>
      </w:r>
    </w:p>
    <w:p>
      <w:pPr>
        <w:pStyle w:val="ListBullet"/>
      </w:pPr>
      <w:r>
        <w:t>Deficiency response recommendations</w:t>
      </w:r>
    </w:p>
    <w:p>
      <w:pPr>
        <w:pStyle w:val="ListBullet"/>
      </w:pPr>
      <w:r>
        <w:t>Lifecycle regulatory change management</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REG-01-01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REG-01-08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REG-02-01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REG-02-08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REG-03-01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REG-03-08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REG-04-01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REG-04-08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REG-05-01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REG-05-08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REG-06-01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REG-06-08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REG-07-01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REG-07-08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REG-08-01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REG-08-08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REG-09-01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REG-09-08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REG-10-01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REG-10-08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REG-11-01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REG-11-08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REG-12-01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REG-12-08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REG-13-01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REG-13-08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REG-14-01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REG-14-08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REG-15-01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REG-15-08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REG-16-01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REG-16-08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REG-17-01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REG-17-08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REG-18-01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REG-18-08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REG-19-01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REG-19-08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REG-20-01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REG-20-08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REG-21-01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REG-21-08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REG-22-01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REG-22-08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REG-23-01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REG-23-08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REG-24-01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REG-24-08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REG-25-01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REG-25-08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REG-26-01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REG-26-08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REG-27-01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REG-27-08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REG-28-01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REG-28-08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REG-29-01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REG-29-08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REG-30-01</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REG-30-02</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REG-30-03</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REG-30-04</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REG-30-05</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REG-30-06</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REG-30-07</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r>
        <w:tc>
          <w:tcPr>
            <w:tcW w:type="dxa" w:w="2160"/>
          </w:tcPr>
          <w:p>
            <w:r>
              <w:t>REG-30-08</w:t>
            </w:r>
          </w:p>
        </w:tc>
        <w:tc>
          <w:tcPr>
            <w:tcW w:type="dxa" w:w="2160"/>
          </w:tcPr>
          <w:p>
            <w:r>
              <w:t>Agent shall identify, interpret and communicate applicable regulatory requirements using authoritative sources and maintain a current regulatory knowledge base.</w:t>
            </w:r>
          </w:p>
        </w:tc>
        <w:tc>
          <w:tcPr>
            <w:tcW w:type="dxa" w:w="2160"/>
          </w:tcPr>
          <w:p>
            <w:r>
              <w:t>Recommendations are current, traceable, jurisdiction-specific and supported by official references.</w:t>
            </w:r>
          </w:p>
        </w:tc>
        <w:tc>
          <w:tcPr>
            <w:tcW w:type="dxa" w:w="2160"/>
          </w:tcPr>
          <w:p>
            <w:r>
              <w:t>High</w:t>
            </w:r>
          </w:p>
        </w:tc>
      </w:tr>
    </w:tbl>
    <w:p>
      <w:r>
        <w:t>Design Note: Every recommendation should be linked to the originating guidance, regulation or pharmacopoeial requirement, include effective dates where applicable, identify impacted AI agents and provide an implementation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