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Soft Gel Shell Formulation Expert</w:t>
        <w:br/>
        <w:t>Version 1.0</w:t>
      </w:r>
    </w:p>
    <w:p>
      <w:r>
        <w:t>This Software Design Specification defines the AI Soft Gel Shell Formulation Expert. The agent is responsible for the design, optimisation and lifecycle management of soft gelatin capsule shell formulations for generic oral softgel products. It develops robust, manufacturable shell compositions that are compatible with the fill formulation, satisfy Quality Target Product Profile (QTPP) requirements, and comply with FDA, EMA, ICH and EU GMP expectations.</w:t>
      </w:r>
    </w:p>
    <w:p>
      <w:pPr>
        <w:pStyle w:val="Heading1"/>
      </w:pPr>
      <w:r>
        <w:t>1. Purpose</w:t>
      </w:r>
    </w:p>
    <w:p>
      <w:pPr>
        <w:pStyle w:val="ListBullet"/>
      </w:pPr>
      <w:r>
        <w:t>Develop robust shell formulations for generic oral softgel capsules.</w:t>
      </w:r>
    </w:p>
    <w:p>
      <w:pPr>
        <w:pStyle w:val="ListBullet"/>
      </w:pPr>
      <w:r>
        <w:t>Optimise shell performance, manufacturability and stability.</w:t>
      </w:r>
    </w:p>
    <w:p>
      <w:pPr>
        <w:pStyle w:val="ListBullet"/>
      </w:pPr>
      <w:r>
        <w:t>Ensure shell compatibility with the fill formulation and packaging.</w:t>
      </w:r>
    </w:p>
    <w:p>
      <w:pPr>
        <w:pStyle w:val="Heading2"/>
      </w:pPr>
      <w:r>
        <w:t>1. Purpose.1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1. Purpose.2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1. Purpose.3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1. Purpose.4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1. Purpose.5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2. Scope</w:t>
      </w:r>
    </w:p>
    <w:p>
      <w:pPr>
        <w:pStyle w:val="ListBullet"/>
      </w:pPr>
      <w:r>
        <w:t>Applies from preformulation through commercial manufacture and lifecycle management.</w:t>
      </w:r>
    </w:p>
    <w:p>
      <w:pPr>
        <w:pStyle w:val="ListBullet"/>
      </w:pPr>
      <w:r>
        <w:t>Interfaces with Product Development, Excipient Selection, QTPP, QbD, Manufacturing, Stability, QA, QC and Regulatory agents.</w:t>
      </w:r>
    </w:p>
    <w:p>
      <w:pPr>
        <w:pStyle w:val="Heading2"/>
      </w:pPr>
      <w:r>
        <w:t>2. Scope.1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2. Scope.2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2. Scope.3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2. Scope.4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2. Scope.5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3. Core Responsibilities</w:t>
      </w:r>
    </w:p>
    <w:p>
      <w:pPr>
        <w:pStyle w:val="ListBullet"/>
      </w:pPr>
      <w:r>
        <w:t>Design shell formulations using gelatin or alternative polymers where appropriate.</w:t>
      </w:r>
    </w:p>
    <w:p>
      <w:pPr>
        <w:pStyle w:val="ListBullet"/>
      </w:pPr>
      <w:r>
        <w:t>Optimise gelatin grade, bloom strength and viscosity.</w:t>
      </w:r>
    </w:p>
    <w:p>
      <w:pPr>
        <w:pStyle w:val="ListBullet"/>
      </w:pPr>
      <w:r>
        <w:t>Select and optimise plasticisers (e.g. glycerol, sorbitol).</w:t>
      </w:r>
    </w:p>
    <w:p>
      <w:pPr>
        <w:pStyle w:val="ListBullet"/>
      </w:pPr>
      <w:r>
        <w:t>Select colourants, opacifiers, flavours and preservatives.</w:t>
      </w:r>
    </w:p>
    <w:p>
      <w:pPr>
        <w:pStyle w:val="ListBullet"/>
      </w:pPr>
      <w:r>
        <w:t>Optimise shell moisture and mechanical properties.</w:t>
      </w:r>
    </w:p>
    <w:p>
      <w:pPr>
        <w:pStyle w:val="ListBullet"/>
      </w:pPr>
      <w:r>
        <w:t>Evaluate shell–fill compatibility and migration risks.</w:t>
      </w:r>
    </w:p>
    <w:p>
      <w:pPr>
        <w:pStyle w:val="ListBullet"/>
      </w:pPr>
      <w:r>
        <w:t>Support encapsulation, drying and storage performance.</w:t>
      </w:r>
    </w:p>
    <w:p>
      <w:pPr>
        <w:pStyle w:val="Heading2"/>
      </w:pPr>
      <w:r>
        <w:t>3. Core Responsibilities.1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3. Core Responsibilities.2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3. Core Responsibilities.3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3. Core Responsibilities.4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3. Core Responsibilities.5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4. Scientific Knowledge Base</w:t>
      </w:r>
    </w:p>
    <w:p>
      <w:pPr>
        <w:pStyle w:val="ListBullet"/>
      </w:pPr>
      <w:r>
        <w:t>Softgel shell chemistry.</w:t>
      </w:r>
    </w:p>
    <w:p>
      <w:pPr>
        <w:pStyle w:val="ListBullet"/>
      </w:pPr>
      <w:r>
        <w:t>Gelatin science and alternative capsule polymers.</w:t>
      </w:r>
    </w:p>
    <w:p>
      <w:pPr>
        <w:pStyle w:val="ListBullet"/>
      </w:pPr>
      <w:r>
        <w:t>Plasticiser interactions.</w:t>
      </w:r>
    </w:p>
    <w:p>
      <w:pPr>
        <w:pStyle w:val="ListBullet"/>
      </w:pPr>
      <w:r>
        <w:t>Water activity and moisture transfer.</w:t>
      </w:r>
    </w:p>
    <w:p>
      <w:pPr>
        <w:pStyle w:val="ListBullet"/>
      </w:pPr>
      <w:r>
        <w:t>Cross-linking mechanisms.</w:t>
      </w:r>
    </w:p>
    <w:p>
      <w:pPr>
        <w:pStyle w:val="ListBullet"/>
      </w:pPr>
      <w:r>
        <w:t>USP, Ph. Eur., BP monographs.</w:t>
      </w:r>
    </w:p>
    <w:p>
      <w:pPr>
        <w:pStyle w:val="ListBullet"/>
      </w:pPr>
      <w:r>
        <w:t>ICH Q8–Q12, FDA 21 CFR Parts 210/211 and EU GMP.</w:t>
      </w:r>
    </w:p>
    <w:p>
      <w:pPr>
        <w:pStyle w:val="Heading2"/>
      </w:pPr>
      <w:r>
        <w:t>4. Scientific Knowledge Base.1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4. Scientific Knowledge Base.2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4. Scientific Knowledge Base.3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4. Scientific Knowledge Base.4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4. Scientific Knowledge Base.5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5. Required Inputs</w:t>
      </w:r>
    </w:p>
    <w:p>
      <w:pPr>
        <w:pStyle w:val="ListBullet"/>
      </w:pPr>
      <w:r>
        <w:t>Approved QTPP and CQAs.</w:t>
      </w:r>
    </w:p>
    <w:p>
      <w:pPr>
        <w:pStyle w:val="ListBullet"/>
      </w:pPr>
      <w:r>
        <w:t>API and fill formulation composition.</w:t>
      </w:r>
    </w:p>
    <w:p>
      <w:pPr>
        <w:pStyle w:val="ListBullet"/>
      </w:pPr>
      <w:r>
        <w:t>Target capsule size and appearance.</w:t>
      </w:r>
    </w:p>
    <w:p>
      <w:pPr>
        <w:pStyle w:val="ListBullet"/>
      </w:pPr>
      <w:r>
        <w:t>Manufacturing equipment capabilities.</w:t>
      </w:r>
    </w:p>
    <w:p>
      <w:pPr>
        <w:pStyle w:val="ListBullet"/>
      </w:pPr>
      <w:r>
        <w:t>Environmental controls and packaging requirements.</w:t>
      </w:r>
    </w:p>
    <w:p>
      <w:pPr>
        <w:pStyle w:val="Heading2"/>
      </w:pPr>
      <w:r>
        <w:t>5. Required Inputs.1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5. Required Inputs.2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5. Required Inputs.3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5. Required Inputs.4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5. Required Inputs.5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6. Primary Outputs</w:t>
      </w:r>
    </w:p>
    <w:p>
      <w:pPr>
        <w:pStyle w:val="ListBullet"/>
      </w:pPr>
      <w:r>
        <w:t>Recommended shell formulation.</w:t>
      </w:r>
    </w:p>
    <w:p>
      <w:pPr>
        <w:pStyle w:val="ListBullet"/>
      </w:pPr>
      <w:r>
        <w:t>Shell composition specification.</w:t>
      </w:r>
    </w:p>
    <w:p>
      <w:pPr>
        <w:pStyle w:val="ListBullet"/>
      </w:pPr>
      <w:r>
        <w:t>Shell–fill compatibility assessment.</w:t>
      </w:r>
    </w:p>
    <w:p>
      <w:pPr>
        <w:pStyle w:val="ListBullet"/>
      </w:pPr>
      <w:r>
        <w:t>Manufacturing parameter recommendations.</w:t>
      </w:r>
    </w:p>
    <w:p>
      <w:pPr>
        <w:pStyle w:val="ListBullet"/>
      </w:pPr>
      <w:r>
        <w:t>Stability and risk assessment.</w:t>
      </w:r>
    </w:p>
    <w:p>
      <w:pPr>
        <w:pStyle w:val="ListBullet"/>
      </w:pPr>
      <w:r>
        <w:t>Lifecycle change recommendations.</w:t>
      </w:r>
    </w:p>
    <w:p>
      <w:pPr>
        <w:pStyle w:val="Heading2"/>
      </w:pPr>
      <w:r>
        <w:t>6. Primary Outputs.1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6. Primary Outputs.2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6. Primary Outputs.3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6. Primary Outputs.4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6. Primary Outputs.5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7. Quality Controls</w:t>
      </w:r>
    </w:p>
    <w:p>
      <w:pPr>
        <w:pStyle w:val="ListBullet"/>
      </w:pPr>
      <w:r>
        <w:t>Shell composition verification.</w:t>
      </w:r>
    </w:p>
    <w:p>
      <w:pPr>
        <w:pStyle w:val="ListBullet"/>
      </w:pPr>
      <w:r>
        <w:t>Compatibility review.</w:t>
      </w:r>
    </w:p>
    <w:p>
      <w:pPr>
        <w:pStyle w:val="ListBullet"/>
      </w:pPr>
      <w:r>
        <w:t>Mechanical property assessment.</w:t>
      </w:r>
    </w:p>
    <w:p>
      <w:pPr>
        <w:pStyle w:val="ListBullet"/>
      </w:pPr>
      <w:r>
        <w:t>Moisture specification review.</w:t>
      </w:r>
    </w:p>
    <w:p>
      <w:pPr>
        <w:pStyle w:val="ListBullet"/>
      </w:pPr>
      <w:r>
        <w:t>Regulatory compliance check.</w:t>
      </w:r>
    </w:p>
    <w:p>
      <w:pPr>
        <w:pStyle w:val="ListBullet"/>
      </w:pPr>
      <w:r>
        <w:t>Version control and audit trail.</w:t>
      </w:r>
    </w:p>
    <w:p>
      <w:pPr>
        <w:pStyle w:val="Heading2"/>
      </w:pPr>
      <w:r>
        <w:t>7. Quality Controls.1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7. Quality Controls.2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7. Quality Controls.3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7. Quality Controls.4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7. Quality Controls.5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8. Validation Strategy</w:t>
      </w:r>
    </w:p>
    <w:p>
      <w:pPr>
        <w:pStyle w:val="ListBullet"/>
      </w:pPr>
      <w:r>
        <w:t>Rule-based formulation validation.</w:t>
      </w:r>
    </w:p>
    <w:p>
      <w:pPr>
        <w:pStyle w:val="ListBullet"/>
      </w:pPr>
      <w:r>
        <w:t>Historical formulation benchmarking.</w:t>
      </w:r>
    </w:p>
    <w:p>
      <w:pPr>
        <w:pStyle w:val="ListBullet"/>
      </w:pPr>
      <w:r>
        <w:t>Experimental verification recommendations.</w:t>
      </w:r>
    </w:p>
    <w:p>
      <w:pPr>
        <w:pStyle w:val="ListBullet"/>
      </w:pPr>
      <w:r>
        <w:t>Cross-agent review.</w:t>
      </w:r>
    </w:p>
    <w:p>
      <w:pPr>
        <w:pStyle w:val="ListBullet"/>
      </w:pPr>
      <w:r>
        <w:t>Regression testing.</w:t>
      </w:r>
    </w:p>
    <w:p>
      <w:pPr>
        <w:pStyle w:val="Heading2"/>
      </w:pPr>
      <w:r>
        <w:t>8. Validation Strategy.1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8. Validation Strategy.2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8. Validation Strategy.3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8. Validation Strategy.4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2"/>
      </w:pPr>
      <w:r>
        <w:t>8. Validation Strategy.5 Detailed Design</w:t>
      </w:r>
    </w:p>
    <w:p>
      <w:r>
        <w:t>Objective: Design shell formulations using deterministic pharmaceutical rules with evidence-supported AI reasoning.</w:t>
      </w:r>
    </w:p>
    <w:p>
      <w:r>
        <w:t>Inputs: Shell component database, fill formulation, manufacturing constraints, stability data and regulatory references.</w:t>
      </w:r>
    </w:p>
    <w:p>
      <w:r>
        <w:t>Processing: Evaluate component interactions, optimise formulation, identify risks and generate ranked recommendations.</w:t>
      </w:r>
    </w:p>
    <w:p>
      <w:r>
        <w:t>Outputs: Controlled shell formulation recommendations with scientific rationale, confidence scores and traceable evidence.</w:t>
      </w:r>
    </w:p>
    <w:p>
      <w:r>
        <w:t>Quality Assurance: Completeness checks, shell–fill compatibility verification, regulatory alignment and audit logging.</w:t>
      </w:r>
    </w:p>
    <w:p>
      <w:r>
        <w:t>Escalation: Where formulation risk or uncertainty exceeds predefined thresholds, recommend targeted laboratory studies.</w:t>
      </w:r>
    </w:p>
    <w:p>
      <w:pPr>
        <w:pStyle w:val="Heading1"/>
      </w:pPr>
      <w:r>
        <w:t>Core Functional Modules</w:t>
      </w:r>
    </w:p>
    <w:p>
      <w:pPr>
        <w:pStyle w:val="ListBullet"/>
      </w:pPr>
      <w:r>
        <w:t>Gelatin Grade Selection</w:t>
      </w:r>
    </w:p>
    <w:p>
      <w:pPr>
        <w:pStyle w:val="ListBullet"/>
      </w:pPr>
      <w:r>
        <w:t>Alternative Polymer Assessment</w:t>
      </w:r>
    </w:p>
    <w:p>
      <w:pPr>
        <w:pStyle w:val="ListBullet"/>
      </w:pPr>
      <w:r>
        <w:t>Plasticiser Optimisation</w:t>
      </w:r>
    </w:p>
    <w:p>
      <w:pPr>
        <w:pStyle w:val="ListBullet"/>
      </w:pPr>
      <w:r>
        <w:t>Colour &amp; Opacifier Selection</w:t>
      </w:r>
    </w:p>
    <w:p>
      <w:pPr>
        <w:pStyle w:val="ListBullet"/>
      </w:pPr>
      <w:r>
        <w:t>Preservative Selection</w:t>
      </w:r>
    </w:p>
    <w:p>
      <w:pPr>
        <w:pStyle w:val="ListBullet"/>
      </w:pPr>
      <w:r>
        <w:t>Shell Moisture Optimisation</w:t>
      </w:r>
    </w:p>
    <w:p>
      <w:pPr>
        <w:pStyle w:val="ListBullet"/>
      </w:pPr>
      <w:r>
        <w:t>Shell–Fill Compatibility</w:t>
      </w:r>
    </w:p>
    <w:p>
      <w:pPr>
        <w:pStyle w:val="ListBullet"/>
      </w:pPr>
      <w:r>
        <w:t>Mechanical Property Prediction</w:t>
      </w:r>
    </w:p>
    <w:p>
      <w:pPr>
        <w:pStyle w:val="ListBullet"/>
      </w:pPr>
      <w:r>
        <w:t>Manufacturing &amp; Drying Optimisation</w:t>
      </w:r>
    </w:p>
    <w:p>
      <w:pPr>
        <w:pStyle w:val="ListBullet"/>
      </w:pPr>
      <w:r>
        <w:t>Lifecycle Change Assessment</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SHELL-01-01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SHELL-01-08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SHELL-02-01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SHELL-02-08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SHELL-03-01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SHELL-03-08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SHELL-04-01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SHELL-04-08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SHELL-05-01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SHELL-05-08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SHELL-06-01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SHELL-06-08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SHELL-07-01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SHELL-07-08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SHELL-08-01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SHELL-08-08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SHELL-09-01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SHELL-09-08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SHELL-10-01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SHELL-10-08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SHELL-11-01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SHELL-11-08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SHELL-12-01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SHELL-12-08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SHELL-13-01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SHELL-13-08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SHELL-14-01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SHELL-14-08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SHELL-15-01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SHELL-15-08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SHELL-16-01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SHELL-16-08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SHELL-17-01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SHELL-17-08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SHELL-18-01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SHELL-18-08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SHELL-19-01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SHELL-19-08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SHELL-20-01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SHELL-20-08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SHELL-21-01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SHELL-21-08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SHELL-22-01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SHELL-22-08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SHELL-23-01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SHELL-23-08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SHELL-24-01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SHELL-24-08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SHELL-25-01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SHELL-25-08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SHELL-26-01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SHELL-26-08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SHELL-27-01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SHELL-27-08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SHELL-28-01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SHELL-28-08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SHELL-29-01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SHELL-29-08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SHELL-30-01</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SHELL-30-02</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SHELL-30-03</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SHELL-30-04</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SHELL-30-05</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SHELL-30-06</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SHELL-30-07</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r>
        <w:tc>
          <w:tcPr>
            <w:tcW w:type="dxa" w:w="2160"/>
          </w:tcPr>
          <w:p>
            <w:r>
              <w:t>SHELL-30-08</w:t>
            </w:r>
          </w:p>
        </w:tc>
        <w:tc>
          <w:tcPr>
            <w:tcW w:type="dxa" w:w="2160"/>
          </w:tcPr>
          <w:p>
            <w:r>
              <w:t>Agent shall recommend shell formulations that satisfy performance, manufacturability, compatibility and regulatory requirements.</w:t>
            </w:r>
          </w:p>
        </w:tc>
        <w:tc>
          <w:tcPr>
            <w:tcW w:type="dxa" w:w="2160"/>
          </w:tcPr>
          <w:p>
            <w:r>
              <w:t>Recommendations are scientifically justified, reproducible and fully traceable.</w:t>
            </w:r>
          </w:p>
        </w:tc>
        <w:tc>
          <w:tcPr>
            <w:tcW w:type="dxa" w:w="2160"/>
          </w:tcPr>
          <w:p>
            <w:r>
              <w:t>High</w:t>
            </w:r>
          </w:p>
        </w:tc>
      </w:tr>
    </w:tbl>
    <w:p>
      <w:r>
        <w:t>Design Note: Each shell component should be linked to its functional role, regulatory status, impact on CQAs, compatibility evidence, manufacturing implications and lifecycle risk assessment.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