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Stability Studies Expert</w:t>
        <w:br/>
        <w:t>Version 1.0</w:t>
      </w:r>
    </w:p>
    <w:p>
      <w:r>
        <w:t>This Software Design Specification defines the AI Stability Studies Expert for generic oral soft gelatin capsule development. The agent designs, governs and interprets stability studies throughout the product lifecycle, ensuring compliance with ICH Q1A–Q1F, ICH Q5C (where relevant), FDA, EMA, EU GMP and pharmacopoeial expectations. The agent predicts stability risks, recommends study designs, evaluates trends and supports shelf-life assignment and lifecycle management.</w:t>
      </w:r>
    </w:p>
    <w:p>
      <w:pPr>
        <w:pStyle w:val="Heading1"/>
      </w:pPr>
      <w:r>
        <w:t>1. Purpose</w:t>
      </w:r>
    </w:p>
    <w:p>
      <w:pPr>
        <w:pStyle w:val="ListBullet"/>
      </w:pPr>
      <w:r>
        <w:t>Develop comprehensive stability strategies.</w:t>
      </w:r>
    </w:p>
    <w:p>
      <w:pPr>
        <w:pStyle w:val="ListBullet"/>
      </w:pPr>
      <w:r>
        <w:t>Support shelf-life and storage condition assignment.</w:t>
      </w:r>
    </w:p>
    <w:p>
      <w:pPr>
        <w:pStyle w:val="ListBullet"/>
      </w:pPr>
      <w:r>
        <w:t>Identify physical, chemical and microbiological stability risks.</w:t>
      </w:r>
    </w:p>
    <w:p>
      <w:pPr>
        <w:pStyle w:val="Heading2"/>
      </w:pPr>
      <w:r>
        <w:t>1. Purpose.1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1. Purpose.2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1. Purpose.3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1. Purpose.4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1. Purpose.5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2. Scope</w:t>
      </w:r>
    </w:p>
    <w:p>
      <w:pPr>
        <w:pStyle w:val="ListBullet"/>
      </w:pPr>
      <w:r>
        <w:t>Applicable from early formulation through commercial lifecycle management.</w:t>
      </w:r>
    </w:p>
    <w:p>
      <w:pPr>
        <w:pStyle w:val="ListBullet"/>
      </w:pPr>
      <w:r>
        <w:t>Interfaces with QTPP, QbD, Product Development, Fill Formulation, Shell Formulation, Analytical Development, Manufacturing, QA, QC and Regulatory AI agents.</w:t>
      </w:r>
    </w:p>
    <w:p>
      <w:pPr>
        <w:pStyle w:val="Heading2"/>
      </w:pPr>
      <w:r>
        <w:t>2. Scope.1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2. Scope.2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2. Scope.3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2. Scope.4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2. Scope.5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3. Core Responsibilities</w:t>
      </w:r>
    </w:p>
    <w:p>
      <w:pPr>
        <w:pStyle w:val="ListBullet"/>
      </w:pPr>
      <w:r>
        <w:t>Design accelerated, long-term, intermediate and in-use stability studies.</w:t>
      </w:r>
    </w:p>
    <w:p>
      <w:pPr>
        <w:pStyle w:val="ListBullet"/>
      </w:pPr>
      <w:r>
        <w:t>Recommend stress testing and forced degradation studies.</w:t>
      </w:r>
    </w:p>
    <w:p>
      <w:pPr>
        <w:pStyle w:val="ListBullet"/>
      </w:pPr>
      <w:r>
        <w:t>Evaluate trending of assay, impurities, dissolution, moisture, appearance and microbiological quality.</w:t>
      </w:r>
    </w:p>
    <w:p>
      <w:pPr>
        <w:pStyle w:val="ListBullet"/>
      </w:pPr>
      <w:r>
        <w:t>Predict degradation pathways and shelf-life.</w:t>
      </w:r>
    </w:p>
    <w:p>
      <w:pPr>
        <w:pStyle w:val="ListBullet"/>
      </w:pPr>
      <w:r>
        <w:t>Assess packaging and container-closure impacts.</w:t>
      </w:r>
    </w:p>
    <w:p>
      <w:pPr>
        <w:pStyle w:val="ListBullet"/>
      </w:pPr>
      <w:r>
        <w:t>Recommend stability protocols and ongoing stability programmes.</w:t>
      </w:r>
    </w:p>
    <w:p>
      <w:pPr>
        <w:pStyle w:val="Heading2"/>
      </w:pPr>
      <w:r>
        <w:t>3. Core Responsibilities.1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3. Core Responsibilities.2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3. Core Responsibilities.3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3. Core Responsibilities.4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3. Core Responsibilities.5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4. Scientific &amp; Regulatory Knowledge Base</w:t>
      </w:r>
    </w:p>
    <w:p>
      <w:pPr>
        <w:pStyle w:val="ListBullet"/>
      </w:pPr>
      <w:r>
        <w:t>ICH Q1A(R2), Q1B, Q1C, Q1D, Q1E, Q1F.</w:t>
      </w:r>
    </w:p>
    <w:p>
      <w:pPr>
        <w:pStyle w:val="ListBullet"/>
      </w:pPr>
      <w:r>
        <w:t>FDA Stability Guidance.</w:t>
      </w:r>
    </w:p>
    <w:p>
      <w:pPr>
        <w:pStyle w:val="ListBullet"/>
      </w:pPr>
      <w:r>
        <w:t>EMA Stability Guidance.</w:t>
      </w:r>
    </w:p>
    <w:p>
      <w:pPr>
        <w:pStyle w:val="ListBullet"/>
      </w:pPr>
      <w:r>
        <w:t>EU GMP.</w:t>
      </w:r>
    </w:p>
    <w:p>
      <w:pPr>
        <w:pStyle w:val="ListBullet"/>
      </w:pPr>
      <w:r>
        <w:t>USP and Ph. Eur. stability-related chapters.</w:t>
      </w:r>
    </w:p>
    <w:p>
      <w:pPr>
        <w:pStyle w:val="ListBullet"/>
      </w:pPr>
      <w:r>
        <w:t>FDA 21 CFR Parts 210/211.</w:t>
      </w:r>
    </w:p>
    <w:p>
      <w:pPr>
        <w:pStyle w:val="Heading2"/>
      </w:pPr>
      <w:r>
        <w:t>4. Scientific &amp; Regulatory Knowledge Base.1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4. Scientific &amp; Regulatory Knowledge Base.2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4. Scientific &amp; Regulatory Knowledge Base.3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4. Scientific &amp; Regulatory Knowledge Base.4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4. Scientific &amp; Regulatory Knowledge Base.5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5. Required Inputs</w:t>
      </w:r>
    </w:p>
    <w:p>
      <w:pPr>
        <w:pStyle w:val="ListBullet"/>
      </w:pPr>
      <w:r>
        <w:t>Approved QTPP and CQAs.</w:t>
      </w:r>
    </w:p>
    <w:p>
      <w:pPr>
        <w:pStyle w:val="ListBullet"/>
      </w:pPr>
      <w:r>
        <w:t>Formulation composition.</w:t>
      </w:r>
    </w:p>
    <w:p>
      <w:pPr>
        <w:pStyle w:val="ListBullet"/>
      </w:pPr>
      <w:r>
        <w:t>Analytical methods and specifications.</w:t>
      </w:r>
    </w:p>
    <w:p>
      <w:pPr>
        <w:pStyle w:val="ListBullet"/>
      </w:pPr>
      <w:r>
        <w:t>Packaging configuration.</w:t>
      </w:r>
    </w:p>
    <w:p>
      <w:pPr>
        <w:pStyle w:val="ListBullet"/>
      </w:pPr>
      <w:r>
        <w:t>Manufacturing process.</w:t>
      </w:r>
    </w:p>
    <w:p>
      <w:pPr>
        <w:pStyle w:val="ListBullet"/>
      </w:pPr>
      <w:r>
        <w:t>Environmental storage requirements.</w:t>
      </w:r>
    </w:p>
    <w:p>
      <w:pPr>
        <w:pStyle w:val="Heading2"/>
      </w:pPr>
      <w:r>
        <w:t>5. Required Inputs.1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5. Required Inputs.2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5. Required Inputs.3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5. Required Inputs.4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5. Required Inputs.5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6. Primary Outputs</w:t>
      </w:r>
    </w:p>
    <w:p>
      <w:pPr>
        <w:pStyle w:val="ListBullet"/>
      </w:pPr>
      <w:r>
        <w:t>Master Stability Protocol.</w:t>
      </w:r>
    </w:p>
    <w:p>
      <w:pPr>
        <w:pStyle w:val="ListBullet"/>
      </w:pPr>
      <w:r>
        <w:t>Stability study schedule.</w:t>
      </w:r>
    </w:p>
    <w:p>
      <w:pPr>
        <w:pStyle w:val="ListBullet"/>
      </w:pPr>
      <w:r>
        <w:t>Trend analysis reports.</w:t>
      </w:r>
    </w:p>
    <w:p>
      <w:pPr>
        <w:pStyle w:val="ListBullet"/>
      </w:pPr>
      <w:r>
        <w:t>Shelf-life recommendation.</w:t>
      </w:r>
    </w:p>
    <w:p>
      <w:pPr>
        <w:pStyle w:val="ListBullet"/>
      </w:pPr>
      <w:r>
        <w:t>Storage condition recommendation.</w:t>
      </w:r>
    </w:p>
    <w:p>
      <w:pPr>
        <w:pStyle w:val="ListBullet"/>
      </w:pPr>
      <w:r>
        <w:t>Stability risk assessments.</w:t>
      </w:r>
    </w:p>
    <w:p>
      <w:pPr>
        <w:pStyle w:val="ListBullet"/>
      </w:pPr>
      <w:r>
        <w:t>Ongoing stability programme.</w:t>
      </w:r>
    </w:p>
    <w:p>
      <w:pPr>
        <w:pStyle w:val="Heading2"/>
      </w:pPr>
      <w:r>
        <w:t>6. Primary Outputs.1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6. Primary Outputs.2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6. Primary Outputs.3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6. Primary Outputs.4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6. Primary Outputs.5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7. Quality Controls</w:t>
      </w:r>
    </w:p>
    <w:p>
      <w:pPr>
        <w:pStyle w:val="ListBullet"/>
      </w:pPr>
      <w:r>
        <w:t>Protocol completeness verification.</w:t>
      </w:r>
    </w:p>
    <w:p>
      <w:pPr>
        <w:pStyle w:val="ListBullet"/>
      </w:pPr>
      <w:r>
        <w:t>ICH compliance review.</w:t>
      </w:r>
    </w:p>
    <w:p>
      <w:pPr>
        <w:pStyle w:val="ListBullet"/>
      </w:pPr>
      <w:r>
        <w:t>Trend anomaly detection.</w:t>
      </w:r>
    </w:p>
    <w:p>
      <w:pPr>
        <w:pStyle w:val="ListBullet"/>
      </w:pPr>
      <w:r>
        <w:t>Specification compliance checks.</w:t>
      </w:r>
    </w:p>
    <w:p>
      <w:pPr>
        <w:pStyle w:val="ListBullet"/>
      </w:pPr>
      <w:r>
        <w:t>Audit trail and version control.</w:t>
      </w:r>
    </w:p>
    <w:p>
      <w:pPr>
        <w:pStyle w:val="Heading2"/>
      </w:pPr>
      <w:r>
        <w:t>7. Quality Controls.1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7. Quality Controls.2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7. Quality Controls.3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7. Quality Controls.4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7. Quality Controls.5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8. Validation Strategy</w:t>
      </w:r>
    </w:p>
    <w:p>
      <w:pPr>
        <w:pStyle w:val="ListBullet"/>
      </w:pPr>
      <w:r>
        <w:t>Rule-based protocol validation.</w:t>
      </w:r>
    </w:p>
    <w:p>
      <w:pPr>
        <w:pStyle w:val="ListBullet"/>
      </w:pPr>
      <w:r>
        <w:t>Historical stability benchmarking.</w:t>
      </w:r>
    </w:p>
    <w:p>
      <w:pPr>
        <w:pStyle w:val="ListBullet"/>
      </w:pPr>
      <w:r>
        <w:t>Cross-agent verification.</w:t>
      </w:r>
    </w:p>
    <w:p>
      <w:pPr>
        <w:pStyle w:val="ListBullet"/>
      </w:pPr>
      <w:r>
        <w:t>Expert review.</w:t>
      </w:r>
    </w:p>
    <w:p>
      <w:pPr>
        <w:pStyle w:val="ListBullet"/>
      </w:pPr>
      <w:r>
        <w:t>Regression testing.</w:t>
      </w:r>
    </w:p>
    <w:p>
      <w:pPr>
        <w:pStyle w:val="Heading2"/>
      </w:pPr>
      <w:r>
        <w:t>8. Validation Strategy.1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8. Validation Strategy.2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8. Validation Strategy.3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8. Validation Strategy.4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2"/>
      </w:pPr>
      <w:r>
        <w:t>8. Validation Strategy.5 Detailed Design</w:t>
      </w:r>
    </w:p>
    <w:p>
      <w:r>
        <w:t>Objective: Design and evaluate stability programmes using deterministic regulatory and scientific rules supported by evidence-based AI reasoning.</w:t>
      </w:r>
    </w:p>
    <w:p>
      <w:r>
        <w:t>Inputs: Formulation data, analytical results, packaging configuration, manufacturing information and regulatory requirements.</w:t>
      </w:r>
    </w:p>
    <w:p>
      <w:r>
        <w:t>Processing: Build study protocols, analyse stability trends, identify degradation mechanisms, estimate shelf-life and document rationale.</w:t>
      </w:r>
    </w:p>
    <w:p>
      <w:r>
        <w:t>Outputs: Controlled stability recommendations with confidence scores, supporting evidence and complete traceability.</w:t>
      </w:r>
    </w:p>
    <w:p>
      <w:r>
        <w:t>Quality Assurance: Completeness checks, statistical trend verification, regulatory alignment, contradiction detection and audit logging.</w:t>
      </w:r>
    </w:p>
    <w:p>
      <w:r>
        <w:t>Escalation: Where stability trends are inconclusive or out-of-specification behaviour is detected, recommend additional studies and investigation.</w:t>
      </w:r>
    </w:p>
    <w:p>
      <w:pPr>
        <w:pStyle w:val="Heading1"/>
      </w:pPr>
      <w:r>
        <w:t>Core Functional Modules</w:t>
      </w:r>
    </w:p>
    <w:p>
      <w:pPr>
        <w:pStyle w:val="ListBullet"/>
      </w:pPr>
      <w:r>
        <w:t>ICH Stability Protocol Design</w:t>
      </w:r>
    </w:p>
    <w:p>
      <w:pPr>
        <w:pStyle w:val="ListBullet"/>
      </w:pPr>
      <w:r>
        <w:t>Accelerated Stability Planning</w:t>
      </w:r>
    </w:p>
    <w:p>
      <w:pPr>
        <w:pStyle w:val="ListBullet"/>
      </w:pPr>
      <w:r>
        <w:t>Long-Term Stability Planning</w:t>
      </w:r>
    </w:p>
    <w:p>
      <w:pPr>
        <w:pStyle w:val="ListBullet"/>
      </w:pPr>
      <w:r>
        <w:t>Intermediate Stability Planning</w:t>
      </w:r>
    </w:p>
    <w:p>
      <w:pPr>
        <w:pStyle w:val="ListBullet"/>
      </w:pPr>
      <w:r>
        <w:t>Photostability Assessment</w:t>
      </w:r>
    </w:p>
    <w:p>
      <w:pPr>
        <w:pStyle w:val="ListBullet"/>
      </w:pPr>
      <w:r>
        <w:t>Forced Degradation Planning</w:t>
      </w:r>
    </w:p>
    <w:p>
      <w:pPr>
        <w:pStyle w:val="ListBullet"/>
      </w:pPr>
      <w:r>
        <w:t>Packaging Compatibility Assessment</w:t>
      </w:r>
    </w:p>
    <w:p>
      <w:pPr>
        <w:pStyle w:val="ListBullet"/>
      </w:pPr>
      <w:r>
        <w:t>Trend Analysis &amp; Shelf-life Modelling</w:t>
      </w:r>
    </w:p>
    <w:p>
      <w:pPr>
        <w:pStyle w:val="ListBullet"/>
      </w:pPr>
      <w:r>
        <w:t>Ongoing Stability Programme</w:t>
      </w:r>
    </w:p>
    <w:p>
      <w:pPr>
        <w:pStyle w:val="ListBullet"/>
      </w:pPr>
      <w:r>
        <w:t>Lifecycle Stability Management</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STAB-01-01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STAB-01-02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STAB-01-03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STAB-01-04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STAB-01-05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STAB-01-06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STAB-01-07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STAB-01-08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STAB-02-01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STAB-02-02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STAB-02-03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STAB-02-04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STAB-02-05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STAB-02-06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STAB-02-07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STAB-02-08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STAB-03-01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STAB-03-02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STAB-03-03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STAB-03-04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STAB-03-05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STAB-03-06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STAB-03-07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STAB-03-08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STAB-04-01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STAB-04-02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STAB-04-03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STAB-04-04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STAB-04-05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STAB-04-06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STAB-04-07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STAB-04-08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STAB-05-01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STAB-05-02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STAB-05-03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STAB-05-04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STAB-05-05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STAB-05-06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STAB-05-07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STAB-05-08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STAB-06-01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STAB-06-02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STAB-06-03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STAB-06-04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STAB-06-05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STAB-06-06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STAB-06-07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STAB-06-08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STAB-07-01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STAB-07-02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STAB-07-03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STAB-07-04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STAB-07-05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STAB-07-06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STAB-07-07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STAB-07-08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STAB-08-01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STAB-08-02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STAB-08-03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STAB-08-04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STAB-08-05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STAB-08-06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STAB-08-07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STAB-08-08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STAB-09-01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STAB-09-02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STAB-09-03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STAB-09-04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STAB-09-05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STAB-09-06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STAB-09-07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STAB-09-08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STAB-10-01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STAB-10-02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STAB-10-03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STAB-10-04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STAB-10-05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STAB-10-06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STAB-10-07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STAB-10-08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STAB-11-01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STAB-11-02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STAB-11-03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STAB-11-04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STAB-11-05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STAB-11-06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STAB-11-07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STAB-11-08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STAB-12-01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STAB-12-02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STAB-12-03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STAB-12-04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STAB-12-05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STAB-12-06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STAB-12-07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STAB-12-08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STAB-13-01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STAB-13-02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STAB-13-03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STAB-13-04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STAB-13-05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STAB-13-06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STAB-13-07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STAB-13-08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STAB-14-01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STAB-14-02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STAB-14-03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STAB-14-04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STAB-14-05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STAB-14-06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STAB-14-07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STAB-14-08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STAB-15-01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STAB-15-02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STAB-15-03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STAB-15-04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STAB-15-05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STAB-15-06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STAB-15-07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STAB-15-08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STAB-16-01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STAB-16-02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STAB-16-03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STAB-16-04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STAB-16-05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STAB-16-06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STAB-16-07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STAB-16-08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STAB-17-01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STAB-17-02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STAB-17-03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STAB-17-04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STAB-17-05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STAB-17-06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STAB-17-07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STAB-17-08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STAB-18-01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STAB-18-02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STAB-18-03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STAB-18-04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STAB-18-05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STAB-18-06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STAB-18-07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STAB-18-08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STAB-19-01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STAB-19-02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STAB-19-03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STAB-19-04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STAB-19-05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STAB-19-06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STAB-19-07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STAB-19-08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STAB-20-01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STAB-20-02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STAB-20-03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STAB-20-04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STAB-20-05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STAB-20-06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STAB-20-07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STAB-20-08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STAB-21-01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STAB-21-02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STAB-21-03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STAB-21-04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STAB-21-05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STAB-21-06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STAB-21-07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STAB-21-08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STAB-22-01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STAB-22-02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STAB-22-03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STAB-22-04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STAB-22-05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STAB-22-06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STAB-22-07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STAB-22-08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STAB-23-01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STAB-23-02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STAB-23-03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STAB-23-04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STAB-23-05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STAB-23-06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STAB-23-07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STAB-23-08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STAB-24-01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STAB-24-02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STAB-24-03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STAB-24-04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STAB-24-05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STAB-24-06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STAB-24-07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STAB-24-08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STAB-25-01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STAB-25-02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STAB-25-03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STAB-25-04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STAB-25-05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STAB-25-06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STAB-25-07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STAB-25-08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STAB-26-01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STAB-26-02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STAB-26-03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STAB-26-04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STAB-26-05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STAB-26-06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STAB-26-07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STAB-26-08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STAB-27-01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STAB-27-02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STAB-27-03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STAB-27-04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STAB-27-05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STAB-27-06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STAB-27-07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STAB-27-08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STAB-28-01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STAB-28-02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STAB-28-03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STAB-28-04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STAB-28-05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STAB-28-06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STAB-28-07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STAB-28-08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STAB-29-01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STAB-29-02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STAB-29-03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STAB-29-04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STAB-29-05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STAB-29-06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STAB-29-07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STAB-29-08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STAB-30-01</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STAB-30-02</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STAB-30-03</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STAB-30-04</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STAB-30-05</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STAB-30-06</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STAB-30-07</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r>
        <w:tc>
          <w:tcPr>
            <w:tcW w:type="dxa" w:w="2160"/>
          </w:tcPr>
          <w:p>
            <w:r>
              <w:t>STAB-30-08</w:t>
            </w:r>
          </w:p>
        </w:tc>
        <w:tc>
          <w:tcPr>
            <w:tcW w:type="dxa" w:w="2160"/>
          </w:tcPr>
          <w:p>
            <w:r>
              <w:t>Agent shall design, evaluate and maintain stability programmes compliant with ICH and regulatory expectations.</w:t>
            </w:r>
          </w:p>
        </w:tc>
        <w:tc>
          <w:tcPr>
            <w:tcW w:type="dxa" w:w="2160"/>
          </w:tcPr>
          <w:p>
            <w:r>
              <w:t>Recommendations are scientifically justified, statistically supported, traceable and suitable for regulatory submission.</w:t>
            </w:r>
          </w:p>
        </w:tc>
        <w:tc>
          <w:tcPr>
            <w:tcW w:type="dxa" w:w="2160"/>
          </w:tcPr>
          <w:p>
            <w:r>
              <w:t>High</w:t>
            </w:r>
          </w:p>
        </w:tc>
      </w:tr>
    </w:tbl>
    <w:p>
      <w:r>
        <w:t>Design Note: Every stability recommendation should be linked to the QTPP, CQAs, analytical methods, packaging configuration, storage conditions and applicable regulatory guidance. Statistical trend analyses should support expiry dating and lifecycle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