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Agent Framework for Generic Oral Soft Gel Capsule Development</w:t>
      </w:r>
    </w:p>
    <w:p>
      <w:r>
        <w:rPr>
          <w:b/>
        </w:rPr>
        <w:t xml:space="preserve">Objective: </w:t>
      </w:r>
      <w:r>
        <w:t>Define the recommended AI specialist agents required to support the complete lifecycle of developing, manufacturing, registering and maintaining generic oral soft gelatin capsule products in compliance with FDA, EMA, MHRA, EU GMP, FDA 21 CFR and ICH requirements.</w:t>
      </w:r>
    </w:p>
    <w:p>
      <w:pPr>
        <w:pStyle w:val="Heading1"/>
      </w:pPr>
      <w:r>
        <w:t>Recommended AI Agents</w:t>
      </w:r>
    </w:p>
    <w:tbl>
      <w:tblPr>
        <w:tblStyle w:val="TableGrid"/>
        <w:tblW w:type="auto" w:w="0"/>
        <w:tblLook w:firstColumn="1" w:firstRow="1" w:lastColumn="0" w:lastRow="0" w:noHBand="0" w:noVBand="1" w:val="04A0"/>
      </w:tblPr>
      <w:tblGrid>
        <w:gridCol w:w="2880"/>
        <w:gridCol w:w="2880"/>
        <w:gridCol w:w="2880"/>
      </w:tblGrid>
      <w:tr>
        <w:tc>
          <w:tcPr>
            <w:tcW w:type="dxa" w:w="2880"/>
          </w:tcPr>
          <w:p>
            <w:r>
              <w:t>AI Agent</w:t>
            </w:r>
          </w:p>
        </w:tc>
        <w:tc>
          <w:tcPr>
            <w:tcW w:type="dxa" w:w="2880"/>
          </w:tcPr>
          <w:p>
            <w:r>
              <w:t>Primary Responsibility</w:t>
            </w:r>
          </w:p>
        </w:tc>
        <w:tc>
          <w:tcPr>
            <w:tcW w:type="dxa" w:w="2880"/>
          </w:tcPr>
          <w:p>
            <w:r>
              <w:t>Key Outputs</w:t>
            </w:r>
          </w:p>
        </w:tc>
      </w:tr>
      <w:tr>
        <w:tc>
          <w:tcPr>
            <w:tcW w:type="dxa" w:w="2880"/>
          </w:tcPr>
          <w:p>
            <w:r>
              <w:t>Portfolio Strategy</w:t>
            </w:r>
          </w:p>
        </w:tc>
        <w:tc>
          <w:tcPr>
            <w:tcW w:type="dxa" w:w="2880"/>
          </w:tcPr>
          <w:p>
            <w:r>
              <w:t>Product selection, commercial and technical prioritisation</w:t>
            </w:r>
          </w:p>
        </w:tc>
        <w:tc>
          <w:tcPr>
            <w:tcW w:type="dxa" w:w="2880"/>
          </w:tcPr>
          <w:p>
            <w:r>
              <w:t>Go/No-Go assessment</w:t>
            </w:r>
          </w:p>
        </w:tc>
      </w:tr>
      <w:tr>
        <w:tc>
          <w:tcPr>
            <w:tcW w:type="dxa" w:w="2880"/>
          </w:tcPr>
          <w:p>
            <w:r>
              <w:t>Regulatory Intelligence</w:t>
            </w:r>
          </w:p>
        </w:tc>
        <w:tc>
          <w:tcPr>
            <w:tcW w:type="dxa" w:w="2880"/>
          </w:tcPr>
          <w:p>
            <w:r>
              <w:t>Monitor FDA/EMA/MHRA/ICH guidance</w:t>
            </w:r>
          </w:p>
        </w:tc>
        <w:tc>
          <w:tcPr>
            <w:tcW w:type="dxa" w:w="2880"/>
          </w:tcPr>
          <w:p>
            <w:r>
              <w:t>Regulatory strategy</w:t>
            </w:r>
          </w:p>
        </w:tc>
      </w:tr>
      <w:tr>
        <w:tc>
          <w:tcPr>
            <w:tcW w:type="dxa" w:w="2880"/>
          </w:tcPr>
          <w:p>
            <w:r>
              <w:t>QTPP</w:t>
            </w:r>
          </w:p>
        </w:tc>
        <w:tc>
          <w:tcPr>
            <w:tcW w:type="dxa" w:w="2880"/>
          </w:tcPr>
          <w:p>
            <w:r>
              <w:t>Develop Quality Target Product Profile</w:t>
            </w:r>
          </w:p>
        </w:tc>
        <w:tc>
          <w:tcPr>
            <w:tcW w:type="dxa" w:w="2880"/>
          </w:tcPr>
          <w:p>
            <w:r>
              <w:t>QTPP document</w:t>
            </w:r>
          </w:p>
        </w:tc>
      </w:tr>
      <w:tr>
        <w:tc>
          <w:tcPr>
            <w:tcW w:type="dxa" w:w="2880"/>
          </w:tcPr>
          <w:p>
            <w:r>
              <w:t>Quality by Design (QbD)</w:t>
            </w:r>
          </w:p>
        </w:tc>
        <w:tc>
          <w:tcPr>
            <w:tcW w:type="dxa" w:w="2880"/>
          </w:tcPr>
          <w:p>
            <w:r>
              <w:t>CQAs, CMAs, CPPs, risk management</w:t>
            </w:r>
          </w:p>
        </w:tc>
        <w:tc>
          <w:tcPr>
            <w:tcW w:type="dxa" w:w="2880"/>
          </w:tcPr>
          <w:p>
            <w:r>
              <w:t>QbD package</w:t>
            </w:r>
          </w:p>
        </w:tc>
      </w:tr>
      <w:tr>
        <w:tc>
          <w:tcPr>
            <w:tcW w:type="dxa" w:w="2880"/>
          </w:tcPr>
          <w:p>
            <w:r>
              <w:t>Product Development Scientist</w:t>
            </w:r>
          </w:p>
        </w:tc>
        <w:tc>
          <w:tcPr>
            <w:tcW w:type="dxa" w:w="2880"/>
          </w:tcPr>
          <w:p>
            <w:r>
              <w:t>Lead formulation development</w:t>
            </w:r>
          </w:p>
        </w:tc>
        <w:tc>
          <w:tcPr>
            <w:tcW w:type="dxa" w:w="2880"/>
          </w:tcPr>
          <w:p>
            <w:r>
              <w:t>Formulation strategy</w:t>
            </w:r>
          </w:p>
        </w:tc>
      </w:tr>
      <w:tr>
        <w:tc>
          <w:tcPr>
            <w:tcW w:type="dxa" w:w="2880"/>
          </w:tcPr>
          <w:p>
            <w:r>
              <w:t>Excipient Selection</w:t>
            </w:r>
          </w:p>
        </w:tc>
        <w:tc>
          <w:tcPr>
            <w:tcW w:type="dxa" w:w="2880"/>
          </w:tcPr>
          <w:p>
            <w:r>
              <w:t>Evaluate excipients and compatibility</w:t>
            </w:r>
          </w:p>
        </w:tc>
        <w:tc>
          <w:tcPr>
            <w:tcW w:type="dxa" w:w="2880"/>
          </w:tcPr>
          <w:p>
            <w:r>
              <w:t>Excipient recommendations</w:t>
            </w:r>
          </w:p>
        </w:tc>
      </w:tr>
      <w:tr>
        <w:tc>
          <w:tcPr>
            <w:tcW w:type="dxa" w:w="2880"/>
          </w:tcPr>
          <w:p>
            <w:r>
              <w:t>Softgel Shell Formulation</w:t>
            </w:r>
          </w:p>
        </w:tc>
        <w:tc>
          <w:tcPr>
            <w:tcW w:type="dxa" w:w="2880"/>
          </w:tcPr>
          <w:p>
            <w:r>
              <w:t>Develop shell composition</w:t>
            </w:r>
          </w:p>
        </w:tc>
        <w:tc>
          <w:tcPr>
            <w:tcW w:type="dxa" w:w="2880"/>
          </w:tcPr>
          <w:p>
            <w:r>
              <w:t>Shell formulation</w:t>
            </w:r>
          </w:p>
        </w:tc>
      </w:tr>
      <w:tr>
        <w:tc>
          <w:tcPr>
            <w:tcW w:type="dxa" w:w="2880"/>
          </w:tcPr>
          <w:p>
            <w:r>
              <w:t>Fill Formulation</w:t>
            </w:r>
          </w:p>
        </w:tc>
        <w:tc>
          <w:tcPr>
            <w:tcW w:type="dxa" w:w="2880"/>
          </w:tcPr>
          <w:p>
            <w:r>
              <w:t>Develop API fill composition</w:t>
            </w:r>
          </w:p>
        </w:tc>
        <w:tc>
          <w:tcPr>
            <w:tcW w:type="dxa" w:w="2880"/>
          </w:tcPr>
          <w:p>
            <w:r>
              <w:t>Fill formulation</w:t>
            </w:r>
          </w:p>
        </w:tc>
      </w:tr>
      <w:tr>
        <w:tc>
          <w:tcPr>
            <w:tcW w:type="dxa" w:w="2880"/>
          </w:tcPr>
          <w:p>
            <w:r>
              <w:t>Analytical Development</w:t>
            </w:r>
          </w:p>
        </w:tc>
        <w:tc>
          <w:tcPr>
            <w:tcW w:type="dxa" w:w="2880"/>
          </w:tcPr>
          <w:p>
            <w:r>
              <w:t>Develop analytical methods</w:t>
            </w:r>
          </w:p>
        </w:tc>
        <w:tc>
          <w:tcPr>
            <w:tcW w:type="dxa" w:w="2880"/>
          </w:tcPr>
          <w:p>
            <w:r>
              <w:t>Validated methods</w:t>
            </w:r>
          </w:p>
        </w:tc>
      </w:tr>
      <w:tr>
        <w:tc>
          <w:tcPr>
            <w:tcW w:type="dxa" w:w="2880"/>
          </w:tcPr>
          <w:p>
            <w:r>
              <w:t>Stability</w:t>
            </w:r>
          </w:p>
        </w:tc>
        <w:tc>
          <w:tcPr>
            <w:tcW w:type="dxa" w:w="2880"/>
          </w:tcPr>
          <w:p>
            <w:r>
              <w:t>ICH stability programme</w:t>
            </w:r>
          </w:p>
        </w:tc>
        <w:tc>
          <w:tcPr>
            <w:tcW w:type="dxa" w:w="2880"/>
          </w:tcPr>
          <w:p>
            <w:r>
              <w:t>Shelf-life recommendation</w:t>
            </w:r>
          </w:p>
        </w:tc>
      </w:tr>
      <w:tr>
        <w:tc>
          <w:tcPr>
            <w:tcW w:type="dxa" w:w="2880"/>
          </w:tcPr>
          <w:p>
            <w:r>
              <w:t>Process Development</w:t>
            </w:r>
          </w:p>
        </w:tc>
        <w:tc>
          <w:tcPr>
            <w:tcW w:type="dxa" w:w="2880"/>
          </w:tcPr>
          <w:p>
            <w:r>
              <w:t>Manufacturing process optimisation</w:t>
            </w:r>
          </w:p>
        </w:tc>
        <w:tc>
          <w:tcPr>
            <w:tcW w:type="dxa" w:w="2880"/>
          </w:tcPr>
          <w:p>
            <w:r>
              <w:t>Process design</w:t>
            </w:r>
          </w:p>
        </w:tc>
      </w:tr>
      <w:tr>
        <w:tc>
          <w:tcPr>
            <w:tcW w:type="dxa" w:w="2880"/>
          </w:tcPr>
          <w:p>
            <w:r>
              <w:t>MSAT</w:t>
            </w:r>
          </w:p>
        </w:tc>
        <w:tc>
          <w:tcPr>
            <w:tcW w:type="dxa" w:w="2880"/>
          </w:tcPr>
          <w:p>
            <w:r>
              <w:t>Scale-up and technology transfer</w:t>
            </w:r>
          </w:p>
        </w:tc>
        <w:tc>
          <w:tcPr>
            <w:tcW w:type="dxa" w:w="2880"/>
          </w:tcPr>
          <w:p>
            <w:r>
              <w:t>Tech transfer package</w:t>
            </w:r>
          </w:p>
        </w:tc>
      </w:tr>
      <w:tr>
        <w:tc>
          <w:tcPr>
            <w:tcW w:type="dxa" w:w="2880"/>
          </w:tcPr>
          <w:p>
            <w:r>
              <w:t>Equipment &amp; Engineering</w:t>
            </w:r>
          </w:p>
        </w:tc>
        <w:tc>
          <w:tcPr>
            <w:tcW w:type="dxa" w:w="2880"/>
          </w:tcPr>
          <w:p>
            <w:r>
              <w:t>Equipment selection and optimisation</w:t>
            </w:r>
          </w:p>
        </w:tc>
        <w:tc>
          <w:tcPr>
            <w:tcW w:type="dxa" w:w="2880"/>
          </w:tcPr>
          <w:p>
            <w:r>
              <w:t>URS/FAT/SAT support</w:t>
            </w:r>
          </w:p>
        </w:tc>
      </w:tr>
      <w:tr>
        <w:tc>
          <w:tcPr>
            <w:tcW w:type="dxa" w:w="2880"/>
          </w:tcPr>
          <w:p>
            <w:r>
              <w:t>Validation</w:t>
            </w:r>
          </w:p>
        </w:tc>
        <w:tc>
          <w:tcPr>
            <w:tcW w:type="dxa" w:w="2880"/>
          </w:tcPr>
          <w:p>
            <w:r>
              <w:t>Process, cleaning and analytical validation</w:t>
            </w:r>
          </w:p>
        </w:tc>
        <w:tc>
          <w:tcPr>
            <w:tcW w:type="dxa" w:w="2880"/>
          </w:tcPr>
          <w:p>
            <w:r>
              <w:t>Validation protocols</w:t>
            </w:r>
          </w:p>
        </w:tc>
      </w:tr>
      <w:tr>
        <w:tc>
          <w:tcPr>
            <w:tcW w:type="dxa" w:w="2880"/>
          </w:tcPr>
          <w:p>
            <w:r>
              <w:t>Quality Control</w:t>
            </w:r>
          </w:p>
        </w:tc>
        <w:tc>
          <w:tcPr>
            <w:tcW w:type="dxa" w:w="2880"/>
          </w:tcPr>
          <w:p>
            <w:r>
              <w:t>Release testing and investigations</w:t>
            </w:r>
          </w:p>
        </w:tc>
        <w:tc>
          <w:tcPr>
            <w:tcW w:type="dxa" w:w="2880"/>
          </w:tcPr>
          <w:p>
            <w:r>
              <w:t>QC reports</w:t>
            </w:r>
          </w:p>
        </w:tc>
      </w:tr>
      <w:tr>
        <w:tc>
          <w:tcPr>
            <w:tcW w:type="dxa" w:w="2880"/>
          </w:tcPr>
          <w:p>
            <w:r>
              <w:t>Quality Assurance</w:t>
            </w:r>
          </w:p>
        </w:tc>
        <w:tc>
          <w:tcPr>
            <w:tcW w:type="dxa" w:w="2880"/>
          </w:tcPr>
          <w:p>
            <w:r>
              <w:t>QMS, CAPA, deviations, change control</w:t>
            </w:r>
          </w:p>
        </w:tc>
        <w:tc>
          <w:tcPr>
            <w:tcW w:type="dxa" w:w="2880"/>
          </w:tcPr>
          <w:p>
            <w:r>
              <w:t>QA oversight</w:t>
            </w:r>
          </w:p>
        </w:tc>
      </w:tr>
      <w:tr>
        <w:tc>
          <w:tcPr>
            <w:tcW w:type="dxa" w:w="2880"/>
          </w:tcPr>
          <w:p>
            <w:r>
              <w:t>GMP Compliance</w:t>
            </w:r>
          </w:p>
        </w:tc>
        <w:tc>
          <w:tcPr>
            <w:tcW w:type="dxa" w:w="2880"/>
          </w:tcPr>
          <w:p>
            <w:r>
              <w:t>FDA 21 CFR/EU GMP compliance</w:t>
            </w:r>
          </w:p>
        </w:tc>
        <w:tc>
          <w:tcPr>
            <w:tcW w:type="dxa" w:w="2880"/>
          </w:tcPr>
          <w:p>
            <w:r>
              <w:t>Compliance assessments</w:t>
            </w:r>
          </w:p>
        </w:tc>
      </w:tr>
      <w:tr>
        <w:tc>
          <w:tcPr>
            <w:tcW w:type="dxa" w:w="2880"/>
          </w:tcPr>
          <w:p>
            <w:r>
              <w:t>CMC Documentation</w:t>
            </w:r>
          </w:p>
        </w:tc>
        <w:tc>
          <w:tcPr>
            <w:tcW w:type="dxa" w:w="2880"/>
          </w:tcPr>
          <w:p>
            <w:r>
              <w:t>CTD Module 3</w:t>
            </w:r>
          </w:p>
        </w:tc>
        <w:tc>
          <w:tcPr>
            <w:tcW w:type="dxa" w:w="2880"/>
          </w:tcPr>
          <w:p>
            <w:r>
              <w:t>CMC dossier</w:t>
            </w:r>
          </w:p>
        </w:tc>
      </w:tr>
      <w:tr>
        <w:tc>
          <w:tcPr>
            <w:tcW w:type="dxa" w:w="2880"/>
          </w:tcPr>
          <w:p>
            <w:r>
              <w:t>Regulatory Submission</w:t>
            </w:r>
          </w:p>
        </w:tc>
        <w:tc>
          <w:tcPr>
            <w:tcW w:type="dxa" w:w="2880"/>
          </w:tcPr>
          <w:p>
            <w:r>
              <w:t>ANDA/eCTD/EMA submissions</w:t>
            </w:r>
          </w:p>
        </w:tc>
        <w:tc>
          <w:tcPr>
            <w:tcW w:type="dxa" w:w="2880"/>
          </w:tcPr>
          <w:p>
            <w:r>
              <w:t>Submission package</w:t>
            </w:r>
          </w:p>
        </w:tc>
      </w:tr>
      <w:tr>
        <w:tc>
          <w:tcPr>
            <w:tcW w:type="dxa" w:w="2880"/>
          </w:tcPr>
          <w:p>
            <w:r>
              <w:t>Bioequivalence</w:t>
            </w:r>
          </w:p>
        </w:tc>
        <w:tc>
          <w:tcPr>
            <w:tcW w:type="dxa" w:w="2880"/>
          </w:tcPr>
          <w:p>
            <w:r>
              <w:t>BE study strategy</w:t>
            </w:r>
          </w:p>
        </w:tc>
        <w:tc>
          <w:tcPr>
            <w:tcW w:type="dxa" w:w="2880"/>
          </w:tcPr>
          <w:p>
            <w:r>
              <w:t>BE programme</w:t>
            </w:r>
          </w:p>
        </w:tc>
      </w:tr>
      <w:tr>
        <w:tc>
          <w:tcPr>
            <w:tcW w:type="dxa" w:w="2880"/>
          </w:tcPr>
          <w:p>
            <w:r>
              <w:t>Clinical Pharmacology</w:t>
            </w:r>
          </w:p>
        </w:tc>
        <w:tc>
          <w:tcPr>
            <w:tcW w:type="dxa" w:w="2880"/>
          </w:tcPr>
          <w:p>
            <w:r>
              <w:t>PK/BCS/clinical strategy</w:t>
            </w:r>
          </w:p>
        </w:tc>
        <w:tc>
          <w:tcPr>
            <w:tcW w:type="dxa" w:w="2880"/>
          </w:tcPr>
          <w:p>
            <w:r>
              <w:t>Clinical assessment</w:t>
            </w:r>
          </w:p>
        </w:tc>
      </w:tr>
      <w:tr>
        <w:tc>
          <w:tcPr>
            <w:tcW w:type="dxa" w:w="2880"/>
          </w:tcPr>
          <w:p>
            <w:r>
              <w:t>Supplier Qualification</w:t>
            </w:r>
          </w:p>
        </w:tc>
        <w:tc>
          <w:tcPr>
            <w:tcW w:type="dxa" w:w="2880"/>
          </w:tcPr>
          <w:p>
            <w:r>
              <w:t>Vendor audits and approval</w:t>
            </w:r>
          </w:p>
        </w:tc>
        <w:tc>
          <w:tcPr>
            <w:tcW w:type="dxa" w:w="2880"/>
          </w:tcPr>
          <w:p>
            <w:r>
              <w:t>Approved supplier list</w:t>
            </w:r>
          </w:p>
        </w:tc>
      </w:tr>
      <w:tr>
        <w:tc>
          <w:tcPr>
            <w:tcW w:type="dxa" w:w="2880"/>
          </w:tcPr>
          <w:p>
            <w:r>
              <w:t>Raw Materials</w:t>
            </w:r>
          </w:p>
        </w:tc>
        <w:tc>
          <w:tcPr>
            <w:tcW w:type="dxa" w:w="2880"/>
          </w:tcPr>
          <w:p>
            <w:r>
              <w:t>Material specifications</w:t>
            </w:r>
          </w:p>
        </w:tc>
        <w:tc>
          <w:tcPr>
            <w:tcW w:type="dxa" w:w="2880"/>
          </w:tcPr>
          <w:p>
            <w:r>
              <w:t>Material control</w:t>
            </w:r>
          </w:p>
        </w:tc>
      </w:tr>
      <w:tr>
        <w:tc>
          <w:tcPr>
            <w:tcW w:type="dxa" w:w="2880"/>
          </w:tcPr>
          <w:p>
            <w:r>
              <w:t>Packaging Development</w:t>
            </w:r>
          </w:p>
        </w:tc>
        <w:tc>
          <w:tcPr>
            <w:tcW w:type="dxa" w:w="2880"/>
          </w:tcPr>
          <w:p>
            <w:r>
              <w:t>Container closure systems</w:t>
            </w:r>
          </w:p>
        </w:tc>
        <w:tc>
          <w:tcPr>
            <w:tcW w:type="dxa" w:w="2880"/>
          </w:tcPr>
          <w:p>
            <w:r>
              <w:t>Packaging specification</w:t>
            </w:r>
          </w:p>
        </w:tc>
      </w:tr>
      <w:tr>
        <w:tc>
          <w:tcPr>
            <w:tcW w:type="dxa" w:w="2880"/>
          </w:tcPr>
          <w:p>
            <w:r>
              <w:t>Serialization &amp; Labelling</w:t>
            </w:r>
          </w:p>
        </w:tc>
        <w:tc>
          <w:tcPr>
            <w:tcW w:type="dxa" w:w="2880"/>
          </w:tcPr>
          <w:p>
            <w:r>
              <w:t>Artwork and serialization</w:t>
            </w:r>
          </w:p>
        </w:tc>
        <w:tc>
          <w:tcPr>
            <w:tcW w:type="dxa" w:w="2880"/>
          </w:tcPr>
          <w:p>
            <w:r>
              <w:t>Labelling compliance</w:t>
            </w:r>
          </w:p>
        </w:tc>
      </w:tr>
      <w:tr>
        <w:tc>
          <w:tcPr>
            <w:tcW w:type="dxa" w:w="2880"/>
          </w:tcPr>
          <w:p>
            <w:r>
              <w:t>Risk Management</w:t>
            </w:r>
          </w:p>
        </w:tc>
        <w:tc>
          <w:tcPr>
            <w:tcW w:type="dxa" w:w="2880"/>
          </w:tcPr>
          <w:p>
            <w:r>
              <w:t>ICH Q9/FMEA</w:t>
            </w:r>
          </w:p>
        </w:tc>
        <w:tc>
          <w:tcPr>
            <w:tcW w:type="dxa" w:w="2880"/>
          </w:tcPr>
          <w:p>
            <w:r>
              <w:t>Risk register</w:t>
            </w:r>
          </w:p>
        </w:tc>
      </w:tr>
      <w:tr>
        <w:tc>
          <w:tcPr>
            <w:tcW w:type="dxa" w:w="2880"/>
          </w:tcPr>
          <w:p>
            <w:r>
              <w:t>Statistics &amp; Data Integrity</w:t>
            </w:r>
          </w:p>
        </w:tc>
        <w:tc>
          <w:tcPr>
            <w:tcW w:type="dxa" w:w="2880"/>
          </w:tcPr>
          <w:p>
            <w:r>
              <w:t>DOE, Part 11, ALCOA+</w:t>
            </w:r>
          </w:p>
        </w:tc>
        <w:tc>
          <w:tcPr>
            <w:tcW w:type="dxa" w:w="2880"/>
          </w:tcPr>
          <w:p>
            <w:r>
              <w:t>Statistical analyses</w:t>
            </w:r>
          </w:p>
        </w:tc>
      </w:tr>
      <w:tr>
        <w:tc>
          <w:tcPr>
            <w:tcW w:type="dxa" w:w="2880"/>
          </w:tcPr>
          <w:p>
            <w:r>
              <w:t>Pharmacovigilance</w:t>
            </w:r>
          </w:p>
        </w:tc>
        <w:tc>
          <w:tcPr>
            <w:tcW w:type="dxa" w:w="2880"/>
          </w:tcPr>
          <w:p>
            <w:r>
              <w:t>Post-marketing surveillance</w:t>
            </w:r>
          </w:p>
        </w:tc>
        <w:tc>
          <w:tcPr>
            <w:tcW w:type="dxa" w:w="2880"/>
          </w:tcPr>
          <w:p>
            <w:r>
              <w:t>PV plan</w:t>
            </w:r>
          </w:p>
        </w:tc>
      </w:tr>
      <w:tr>
        <w:tc>
          <w:tcPr>
            <w:tcW w:type="dxa" w:w="2880"/>
          </w:tcPr>
          <w:p>
            <w:r>
              <w:t>Inspection Readiness</w:t>
            </w:r>
          </w:p>
        </w:tc>
        <w:tc>
          <w:tcPr>
            <w:tcW w:type="dxa" w:w="2880"/>
          </w:tcPr>
          <w:p>
            <w:r>
              <w:t>Mock inspections</w:t>
            </w:r>
          </w:p>
        </w:tc>
        <w:tc>
          <w:tcPr>
            <w:tcW w:type="dxa" w:w="2880"/>
          </w:tcPr>
          <w:p>
            <w:r>
              <w:t>Inspection readiness</w:t>
            </w:r>
          </w:p>
        </w:tc>
      </w:tr>
      <w:tr>
        <w:tc>
          <w:tcPr>
            <w:tcW w:type="dxa" w:w="2880"/>
          </w:tcPr>
          <w:p>
            <w:r>
              <w:t>Knowledge Management</w:t>
            </w:r>
          </w:p>
        </w:tc>
        <w:tc>
          <w:tcPr>
            <w:tcW w:type="dxa" w:w="2880"/>
          </w:tcPr>
          <w:p>
            <w:r>
              <w:t>Corporate knowledge repository</w:t>
            </w:r>
          </w:p>
        </w:tc>
        <w:tc>
          <w:tcPr>
            <w:tcW w:type="dxa" w:w="2880"/>
          </w:tcPr>
          <w:p>
            <w:r>
              <w:t>Knowledge base</w:t>
            </w:r>
          </w:p>
        </w:tc>
      </w:tr>
    </w:tbl>
    <w:p>
      <w:pPr>
        <w:pStyle w:val="Heading1"/>
      </w:pPr>
      <w:r>
        <w:t>Functional Departments</w:t>
      </w:r>
    </w:p>
    <w:p>
      <w:pPr>
        <w:pStyle w:val="Heading2"/>
      </w:pPr>
      <w:r>
        <w:t>Product Development</w:t>
      </w:r>
    </w:p>
    <w:p>
      <w:pPr>
        <w:pStyle w:val="ListBullet"/>
      </w:pPr>
      <w:r>
        <w:t>Product Development</w:t>
      </w:r>
    </w:p>
    <w:p>
      <w:pPr>
        <w:pStyle w:val="ListBullet"/>
      </w:pPr>
      <w:r>
        <w:t>QbD</w:t>
      </w:r>
    </w:p>
    <w:p>
      <w:pPr>
        <w:pStyle w:val="ListBullet"/>
      </w:pPr>
      <w:r>
        <w:t>Excipient Selection</w:t>
      </w:r>
    </w:p>
    <w:p>
      <w:pPr>
        <w:pStyle w:val="ListBullet"/>
      </w:pPr>
      <w:r>
        <w:t>Shell Formulation</w:t>
      </w:r>
    </w:p>
    <w:p>
      <w:pPr>
        <w:pStyle w:val="ListBullet"/>
      </w:pPr>
      <w:r>
        <w:t>Fill Formulation</w:t>
      </w:r>
    </w:p>
    <w:p>
      <w:pPr>
        <w:pStyle w:val="ListBullet"/>
      </w:pPr>
      <w:r>
        <w:t>Process Development</w:t>
      </w:r>
    </w:p>
    <w:p>
      <w:pPr>
        <w:pStyle w:val="ListBullet"/>
      </w:pPr>
      <w:r>
        <w:t>Stability</w:t>
      </w:r>
    </w:p>
    <w:p>
      <w:pPr>
        <w:pStyle w:val="Heading2"/>
      </w:pPr>
      <w:r>
        <w:t>Analytical Sciences</w:t>
      </w:r>
    </w:p>
    <w:p>
      <w:pPr>
        <w:pStyle w:val="ListBullet"/>
      </w:pPr>
      <w:r>
        <w:t>Analytical Development</w:t>
      </w:r>
    </w:p>
    <w:p>
      <w:pPr>
        <w:pStyle w:val="ListBullet"/>
      </w:pPr>
      <w:r>
        <w:t>QC</w:t>
      </w:r>
    </w:p>
    <w:p>
      <w:pPr>
        <w:pStyle w:val="ListBullet"/>
      </w:pPr>
      <w:r>
        <w:t>Validation</w:t>
      </w:r>
    </w:p>
    <w:p>
      <w:pPr>
        <w:pStyle w:val="ListBullet"/>
      </w:pPr>
      <w:r>
        <w:t>Statistics &amp; Data Integrity</w:t>
      </w:r>
    </w:p>
    <w:p>
      <w:pPr>
        <w:pStyle w:val="Heading2"/>
      </w:pPr>
      <w:r>
        <w:t>Manufacturing</w:t>
      </w:r>
    </w:p>
    <w:p>
      <w:pPr>
        <w:pStyle w:val="ListBullet"/>
      </w:pPr>
      <w:r>
        <w:t>MSAT</w:t>
      </w:r>
    </w:p>
    <w:p>
      <w:pPr>
        <w:pStyle w:val="ListBullet"/>
      </w:pPr>
      <w:r>
        <w:t>Equipment</w:t>
      </w:r>
    </w:p>
    <w:p>
      <w:pPr>
        <w:pStyle w:val="ListBullet"/>
      </w:pPr>
      <w:r>
        <w:t>Packaging</w:t>
      </w:r>
    </w:p>
    <w:p>
      <w:pPr>
        <w:pStyle w:val="ListBullet"/>
      </w:pPr>
      <w:r>
        <w:t>Supplier Qualification</w:t>
      </w:r>
    </w:p>
    <w:p>
      <w:pPr>
        <w:pStyle w:val="ListBullet"/>
      </w:pPr>
      <w:r>
        <w:t>Raw Materials</w:t>
      </w:r>
    </w:p>
    <w:p>
      <w:pPr>
        <w:pStyle w:val="Heading2"/>
      </w:pPr>
      <w:r>
        <w:t>Quality</w:t>
      </w:r>
    </w:p>
    <w:p>
      <w:pPr>
        <w:pStyle w:val="ListBullet"/>
      </w:pPr>
      <w:r>
        <w:t>QA</w:t>
      </w:r>
    </w:p>
    <w:p>
      <w:pPr>
        <w:pStyle w:val="ListBullet"/>
      </w:pPr>
      <w:r>
        <w:t>GMP Compliance</w:t>
      </w:r>
    </w:p>
    <w:p>
      <w:pPr>
        <w:pStyle w:val="ListBullet"/>
      </w:pPr>
      <w:r>
        <w:t>Risk Management</w:t>
      </w:r>
    </w:p>
    <w:p>
      <w:pPr>
        <w:pStyle w:val="ListBullet"/>
      </w:pPr>
      <w:r>
        <w:t>Inspection Readiness</w:t>
      </w:r>
    </w:p>
    <w:p>
      <w:pPr>
        <w:pStyle w:val="Heading2"/>
      </w:pPr>
      <w:r>
        <w:t>Regulatory</w:t>
      </w:r>
    </w:p>
    <w:p>
      <w:pPr>
        <w:pStyle w:val="ListBullet"/>
      </w:pPr>
      <w:r>
        <w:t>Regulatory Intelligence</w:t>
      </w:r>
    </w:p>
    <w:p>
      <w:pPr>
        <w:pStyle w:val="ListBullet"/>
      </w:pPr>
      <w:r>
        <w:t>CMC</w:t>
      </w:r>
    </w:p>
    <w:p>
      <w:pPr>
        <w:pStyle w:val="ListBullet"/>
      </w:pPr>
      <w:r>
        <w:t>Submission</w:t>
      </w:r>
    </w:p>
    <w:p>
      <w:pPr>
        <w:pStyle w:val="ListBullet"/>
      </w:pPr>
      <w:r>
        <w:t>Bioequivalence</w:t>
      </w:r>
    </w:p>
    <w:p>
      <w:pPr>
        <w:pStyle w:val="ListBullet"/>
      </w:pPr>
      <w:r>
        <w:t>Clinical Pharmacology</w:t>
      </w:r>
    </w:p>
    <w:p>
      <w:pPr>
        <w:pStyle w:val="Heading2"/>
      </w:pPr>
      <w:r>
        <w:t>Commercial</w:t>
      </w:r>
    </w:p>
    <w:p>
      <w:pPr>
        <w:pStyle w:val="ListBullet"/>
      </w:pPr>
      <w:r>
        <w:t>Portfolio Strategy</w:t>
      </w:r>
    </w:p>
    <w:p>
      <w:pPr>
        <w:pStyle w:val="ListBullet"/>
      </w:pPr>
      <w:r>
        <w:t>Knowledge Management</w:t>
      </w:r>
    </w:p>
    <w:p>
      <w:pPr>
        <w:pStyle w:val="Heading1"/>
      </w:pPr>
      <w:r>
        <w:t>Recommended Tier 1 Agents</w:t>
      </w:r>
    </w:p>
    <w:p>
      <w:pPr>
        <w:pStyle w:val="ListBullet"/>
      </w:pPr>
      <w:r>
        <w:t>Portfolio Strategy</w:t>
      </w:r>
    </w:p>
    <w:p>
      <w:pPr>
        <w:pStyle w:val="ListBullet"/>
      </w:pPr>
      <w:r>
        <w:t>Regulatory Intelligence</w:t>
      </w:r>
    </w:p>
    <w:p>
      <w:pPr>
        <w:pStyle w:val="ListBullet"/>
      </w:pPr>
      <w:r>
        <w:t>Product Development Scientist</w:t>
      </w:r>
    </w:p>
    <w:p>
      <w:pPr>
        <w:pStyle w:val="ListBullet"/>
      </w:pPr>
      <w:r>
        <w:t>Softgel Formulation Expert</w:t>
      </w:r>
    </w:p>
    <w:p>
      <w:pPr>
        <w:pStyle w:val="ListBullet"/>
      </w:pPr>
      <w:r>
        <w:t>Fill Formulation Expert</w:t>
      </w:r>
    </w:p>
    <w:p>
      <w:pPr>
        <w:pStyle w:val="ListBullet"/>
      </w:pPr>
      <w:r>
        <w:t>Analytical Development</w:t>
      </w:r>
    </w:p>
    <w:p>
      <w:pPr>
        <w:pStyle w:val="ListBullet"/>
      </w:pPr>
      <w:r>
        <w:t>Stability</w:t>
      </w:r>
    </w:p>
    <w:p>
      <w:pPr>
        <w:pStyle w:val="ListBullet"/>
      </w:pPr>
      <w:r>
        <w:t>Manufacturing Process</w:t>
      </w:r>
    </w:p>
    <w:p>
      <w:pPr>
        <w:pStyle w:val="ListBullet"/>
      </w:pPr>
      <w:r>
        <w:t>Quality Assurance</w:t>
      </w:r>
    </w:p>
    <w:p>
      <w:pPr>
        <w:pStyle w:val="ListBullet"/>
      </w:pPr>
      <w:r>
        <w:t>Quality Control</w:t>
      </w:r>
    </w:p>
    <w:p>
      <w:pPr>
        <w:pStyle w:val="ListBullet"/>
      </w:pPr>
      <w:r>
        <w:t>Validation</w:t>
      </w:r>
    </w:p>
    <w:p>
      <w:pPr>
        <w:pStyle w:val="ListBullet"/>
      </w:pPr>
      <w:r>
        <w:t>GMP Compliance</w:t>
      </w:r>
    </w:p>
    <w:p>
      <w:pPr>
        <w:pStyle w:val="ListBullet"/>
      </w:pPr>
      <w:r>
        <w:t>Regulatory Submission</w:t>
      </w:r>
    </w:p>
    <w:p>
      <w:pPr>
        <w:pStyle w:val="ListBullet"/>
      </w:pPr>
      <w:r>
        <w:t>Bioequivalence</w:t>
      </w:r>
    </w:p>
    <w:p>
      <w:pPr>
        <w:pStyle w:val="ListBullet"/>
      </w:pPr>
      <w:r>
        <w:t>Risk Management</w:t>
      </w:r>
    </w:p>
    <w:p>
      <w:pPr>
        <w:pStyle w:val="ListBullet"/>
      </w:pPr>
      <w:r>
        <w:t>Inspection Readiness</w:t>
      </w:r>
    </w:p>
    <w:p>
      <w:pPr>
        <w:pStyle w:val="Heading1"/>
      </w:pPr>
      <w:r>
        <w:t>Proposed Chief Orchestration Agents</w:t>
      </w:r>
    </w:p>
    <w:p>
      <w:r>
        <w:rPr>
          <w:b/>
        </w:rPr>
        <w:t xml:space="preserve">Chief Scientific Officer Agent: </w:t>
      </w:r>
      <w:r>
        <w:t>Coordinates formulation, analytical development, process development and stability.</w:t>
      </w:r>
    </w:p>
    <w:p>
      <w:r>
        <w:rPr>
          <w:b/>
        </w:rPr>
        <w:t xml:space="preserve">Chief Quality Officer Agent: </w:t>
      </w:r>
      <w:r>
        <w:t>Coordinates QA, QC, validation, GMP compliance and data integrity.</w:t>
      </w:r>
    </w:p>
    <w:p>
      <w:r>
        <w:rPr>
          <w:b/>
        </w:rPr>
        <w:t xml:space="preserve">Chief Regulatory Affairs Agent: </w:t>
      </w:r>
      <w:r>
        <w:t>Coordinates regulatory strategy, CMC and submissions.</w:t>
      </w:r>
    </w:p>
    <w:p>
      <w:r>
        <w:rPr>
          <w:b/>
        </w:rPr>
        <w:t xml:space="preserve">Chief Manufacturing Officer Agent: </w:t>
      </w:r>
      <w:r>
        <w:t>Coordinates scale-up, technology transfer and manufacturing.</w:t>
      </w:r>
    </w:p>
    <w:p>
      <w:r>
        <w:rPr>
          <w:b/>
        </w:rPr>
        <w:t xml:space="preserve">Chief Project Manager Agent: </w:t>
      </w:r>
      <w:r>
        <w:t>Coordinates timelines, deliverables, risks and cross-functional communication.</w:t>
      </w:r>
    </w:p>
    <w:p>
      <w:pPr>
        <w:pStyle w:val="Heading1"/>
      </w:pPr>
      <w:r>
        <w:t>Overall Vision</w:t>
      </w:r>
    </w:p>
    <w:p>
      <w:r>
        <w:t>The combined architecture provides an integrated AI ecosystem covering the complete lifecycle of generic oral soft gelatin capsule development. Each specialist agent has clearly defined responsibilities while orchestration agents coordinate activities across disciplines, creating a traceable, auditable and regulatory-aligned development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