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 of Conduct</w:t>
      </w:r>
    </w:p>
    <w:p>
      <w:r>
        <w:t>Policy ID: HR-CC-06 · Effective: 1 January 2026 · Owner: Legal and Compliance</w:t>
      </w:r>
    </w:p>
    <w:p>
      <w:r>
        <w:t>Company: Nilebyte Solutions (fictional company, dummy data for a portfolio project)</w:t>
      </w:r>
    </w:p>
    <w:p>
      <w:pPr>
        <w:pStyle w:val="Heading1"/>
      </w:pPr>
      <w:r>
        <w:t>1. Respectful Workplace</w:t>
      </w:r>
    </w:p>
    <w:p>
      <w:r>
        <w:t>1.1 The company has zero tolerance for harassment, bullying and discrimination on the basis of any protected characteristic, including gender, religion, ethnicity, age, disability and marital status.</w:t>
      </w:r>
    </w:p>
    <w:p>
      <w:r>
        <w:t>1.2 Everyone is expected to treat colleagues, candidates, customers and suppliers with respect.</w:t>
      </w:r>
    </w:p>
    <w:p>
      <w:pPr>
        <w:pStyle w:val="Heading1"/>
      </w:pPr>
      <w:r>
        <w:t>2. Reporting Concerns</w:t>
      </w:r>
    </w:p>
    <w:p>
      <w:r>
        <w:t>2.1 Concerns can be raised with a manager, with HR, or anonymously through the Ethics Hotline at ethics.nilebyte.example.</w:t>
      </w:r>
    </w:p>
    <w:p>
      <w:r>
        <w:t>2.2 Retaliation against anyone who raises a concern in good faith is prohibited.</w:t>
      </w:r>
    </w:p>
    <w:p>
      <w:r>
        <w:t>2.3 HR acknowledges every report within 2 working days.</w:t>
      </w:r>
    </w:p>
    <w:p>
      <w:pPr>
        <w:pStyle w:val="Heading1"/>
      </w:pPr>
      <w:r>
        <w:t>3. Conflicts of Interest</w:t>
      </w:r>
    </w:p>
    <w:p>
      <w:r>
        <w:t>3.1 Employees must disclose outside employment, board positions, or financial interests in suppliers or competitors to HR within 30 days.</w:t>
      </w:r>
    </w:p>
    <w:p>
      <w:r>
        <w:t>3.2 Employees must not directly manage a relative or partner.</w:t>
      </w:r>
    </w:p>
    <w:p>
      <w:pPr>
        <w:pStyle w:val="Heading1"/>
      </w:pPr>
      <w:r>
        <w:t>4. Gifts and Hospitality</w:t>
      </w:r>
    </w:p>
    <w:p>
      <w:r>
        <w:t>4.1 Employees may accept gifts from suppliers or clients worth up to USD 50. Gifts above this value must be declined or declared to Compliance.</w:t>
      </w:r>
    </w:p>
    <w:p>
      <w:r>
        <w:t>4.2 Cash and cash equivalents, such as gift cards, must never be accepted.</w:t>
      </w:r>
    </w:p>
    <w:p>
      <w:pPr>
        <w:pStyle w:val="Heading1"/>
      </w:pPr>
      <w:r>
        <w:t>5. Confidentiality and Data Protection</w:t>
      </w:r>
    </w:p>
    <w:p>
      <w:r>
        <w:t>5.1 Employee personal data may only be accessed by authorised personnel for legitimate business purposes.</w:t>
      </w:r>
    </w:p>
    <w:p>
      <w:r>
        <w:t>5.2 The salary of any employee is confidential. HR staff and HR systems must not disclose an employee's salary to anyone other than authorised personnel in People Operations and Payroll.</w:t>
      </w:r>
    </w:p>
    <w:p>
      <w:r>
        <w:t>5.3 Suspected data breaches must be reported to the Data Protection Officer within 24 hours.</w:t>
      </w:r>
    </w:p>
    <w:p>
      <w:pPr>
        <w:pStyle w:val="Heading1"/>
      </w:pPr>
      <w:r>
        <w:t>6. Company Assets and AI Tools</w:t>
      </w:r>
    </w:p>
    <w:p>
      <w:r>
        <w:t>6.1 Confidential company, employee or customer data must not be entered into public AI tools that IT has not approved.</w:t>
      </w:r>
    </w:p>
    <w:p>
      <w:r>
        <w:t>6.2 AI-generated content used in customer deliverables or in decisions about people must be reviewed by a human before use.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INTERNAL · Uncontrolled when printed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Nilebyte Solutions · HR-CC-06 · Version 2026.1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of Conduct</dc:title>
  <dc:subject/>
  <dc:creator>Legal and Compliance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