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and Hybrid Work Policy</w:t>
      </w:r>
    </w:p>
    <w:p>
      <w:r>
        <w:t>Policy ID: HR-RW-02 · Effective: 1 January 2026 · Owner: People Operations</w:t>
      </w:r>
    </w:p>
    <w:p>
      <w:r>
        <w:t>Company: Nilebyte Solutions (fictional company, dummy data for a portfolio project)</w:t>
      </w:r>
    </w:p>
    <w:p>
      <w:pPr>
        <w:pStyle w:val="Heading1"/>
      </w:pPr>
      <w:r>
        <w:t>1. Scope and Purpose</w:t>
      </w:r>
    </w:p>
    <w:p>
      <w:r>
        <w:t>1.1 This policy explains where and when employees may work. It applies to all employees whose role can be performed away from the office.</w:t>
      </w:r>
    </w:p>
    <w:p>
      <w:r>
        <w:t>1.2 Roles that require on-site presence (for example, office operations and IT hardware support) are excluded.</w:t>
      </w:r>
    </w:p>
    <w:p>
      <w:pPr>
        <w:pStyle w:val="Heading1"/>
      </w:pPr>
      <w:r>
        <w:t>2. Hybrid Working Model</w:t>
      </w:r>
    </w:p>
    <w:p>
      <w:r>
        <w:t>2.1 The standard working model is hybrid: employees work from the office at least 3 days per week and may work remotely for up to 2 days per week.</w:t>
      </w:r>
    </w:p>
    <w:p>
      <w:r>
        <w:t>2.2 Tuesday is the company-wide anchor day. All hybrid employees are expected to work from the office every Tuesday.</w:t>
      </w:r>
    </w:p>
    <w:p>
      <w:r>
        <w:t>2.3 Fully remote arrangements are exceptional. They require approval from the department VP and HR and are reviewed every 6 months.</w:t>
      </w:r>
    </w:p>
    <w:p>
      <w:r>
        <w:t>2.4 New employees work from the office every working day during their first 4 weeks, to support onboarding.</w:t>
      </w:r>
    </w:p>
    <w:p>
      <w:pPr>
        <w:pStyle w:val="Heading1"/>
      </w:pPr>
      <w:r>
        <w:t>3. Working Hours</w:t>
      </w:r>
    </w:p>
    <w:p>
      <w:r>
        <w:t>3.1 Core collaboration hours are 10:00 to 15:00 local time. Employees should be available for meetings and messages during core hours.</w:t>
      </w:r>
    </w:p>
    <w:p>
      <w:r>
        <w:t>3.2 Outside core hours, employees may choose their start and finish times, as long as they complete their contracted hours.</w:t>
      </w:r>
    </w:p>
    <w:p>
      <w:pPr>
        <w:pStyle w:val="Heading1"/>
      </w:pPr>
      <w:r>
        <w:t>4. Working From Abroad</w:t>
      </w:r>
    </w:p>
    <w:p>
      <w:r>
        <w:t>4.1 Employees may work from another country for up to 20 working days per calendar year. This requires approval from the direct manager and HR, requested at least 3 weeks in advance.</w:t>
      </w:r>
    </w:p>
    <w:p>
      <w:r>
        <w:t>4.2 Working from abroad is not permitted in countries where the company has legal, tax or sanctions restrictions. HR Legal maintains the list of restricted countries.</w:t>
      </w:r>
    </w:p>
    <w:p>
      <w:r>
        <w:t>4.3 While working from abroad, employees must remain available during core hours in their home time zone.</w:t>
      </w:r>
    </w:p>
    <w:p>
      <w:pPr>
        <w:pStyle w:val="Heading1"/>
      </w:pPr>
      <w:r>
        <w:t>5. Equipment and Stipend</w:t>
      </w:r>
    </w:p>
    <w:p>
      <w:r>
        <w:t>5.1 The company provides every employee with a laptop, a monitor and a headset.</w:t>
      </w:r>
    </w:p>
    <w:p>
      <w:r>
        <w:t>5.2 Hybrid and remote employees receive a one-time home-office stipend of USD 300. It must be claimed through the expense system within 90 days of joining.</w:t>
      </w:r>
    </w:p>
    <w:p>
      <w:r>
        <w:t>5.3 Fully remote employees are reimbursed for home internet costs up to USD 25 per month. Hybrid employees are not eligible for internet reimbursement.</w:t>
      </w:r>
    </w:p>
    <w:p>
      <w:pPr>
        <w:pStyle w:val="Heading1"/>
      </w:pPr>
      <w:r>
        <w:t>6. Security</w:t>
      </w:r>
    </w:p>
    <w:p>
      <w:r>
        <w:t>6.1 Company data may only be accessed on company-managed devices.</w:t>
      </w:r>
    </w:p>
    <w:p>
      <w:r>
        <w:t>6.2 When using public Wi-Fi, employees must connect through the company VPN.</w:t>
      </w:r>
    </w:p>
    <w:p>
      <w:r>
        <w:t>6.3 Lost or stolen devices must be reported to IT Security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HR-RW-02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and Hybrid Work Policy</dc:title>
  <dc:subject/>
  <dc:creator>People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