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Salary Bands 2026</w:t>
      </w:r>
    </w:p>
    <w:p>
      <w:r>
        <w:t>Policy ID: HR-SB-08 · Version: 2026.1 · Effective: 1 January 2026 · Owner: People Operations (Reward) · Classification: RESTRICTED, HR staff only</w:t>
      </w:r>
    </w:p>
    <w:p>
      <w:r>
        <w:t>Company: Nilebyte Solutions (fictional company, dummy data for a portfolio project)</w:t>
      </w:r>
    </w:p>
    <w:p>
      <w:pPr>
        <w:pStyle w:val="Heading1"/>
      </w:pPr>
      <w:r>
        <w:t>1. Purpose</w:t>
      </w:r>
    </w:p>
    <w:p>
      <w:r>
        <w:t>1.1 This document sets the monthly base salary range for each job grade. People Operations uses it for offers, promotions and pay reviews.</w:t>
      </w:r>
    </w:p>
    <w:p>
      <w:r>
        <w:t>1.2 Salary bands are confidential under Code of Conduct §5.2. They must not be shared outside People Operations and Payroll.</w:t>
      </w:r>
    </w:p>
    <w:p>
      <w:pPr>
        <w:pStyle w:val="Heading1"/>
      </w:pPr>
      <w:r>
        <w:t>2. Bands</w:t>
      </w:r>
    </w:p>
    <w:p>
      <w:r>
        <w:t>2.1 Table 1 shows the monthly base salary bands in Egyptian pounds (EGP).</w:t>
      </w:r>
    </w:p>
    <w:p>
      <w:r>
        <w:rPr>
          <w:b/>
        </w:rPr>
        <w:t>Table 1: Monthly base salary bands (EGP)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 roles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Midpoint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Maximum</w:t>
            </w:r>
          </w:p>
        </w:tc>
      </w:tr>
      <w:tr>
        <w:tc>
          <w:tcPr>
            <w:tcW w:type="dxa" w:w="1728"/>
          </w:tcPr>
          <w:p>
            <w:r>
              <w:t>G1</w:t>
            </w:r>
          </w:p>
        </w:tc>
        <w:tc>
          <w:tcPr>
            <w:tcW w:type="dxa" w:w="1728"/>
          </w:tcPr>
          <w:p>
            <w:r>
              <w:t>Intern, Assistant</w:t>
            </w:r>
          </w:p>
        </w:tc>
        <w:tc>
          <w:tcPr>
            <w:tcW w:type="dxa" w:w="1728"/>
          </w:tcPr>
          <w:p>
            <w:r>
              <w:t>9,000</w:t>
            </w:r>
          </w:p>
        </w:tc>
        <w:tc>
          <w:tcPr>
            <w:tcW w:type="dxa" w:w="1728"/>
          </w:tcPr>
          <w:p>
            <w:r>
              <w:t>11,000</w:t>
            </w:r>
          </w:p>
        </w:tc>
        <w:tc>
          <w:tcPr>
            <w:tcW w:type="dxa" w:w="1728"/>
          </w:tcPr>
          <w:p>
            <w:r>
              <w:t>13,000</w:t>
            </w:r>
          </w:p>
        </w:tc>
      </w:tr>
      <w:tr>
        <w:tc>
          <w:tcPr>
            <w:tcW w:type="dxa" w:w="1728"/>
          </w:tcPr>
          <w:p>
            <w:r>
              <w:t>G2</w:t>
            </w:r>
          </w:p>
        </w:tc>
        <w:tc>
          <w:tcPr>
            <w:tcW w:type="dxa" w:w="1728"/>
          </w:tcPr>
          <w:p>
            <w:r>
              <w:t>Junior Analyst, Junior Developer</w:t>
            </w:r>
          </w:p>
        </w:tc>
        <w:tc>
          <w:tcPr>
            <w:tcW w:type="dxa" w:w="1728"/>
          </w:tcPr>
          <w:p>
            <w:r>
              <w:t>14,000</w:t>
            </w:r>
          </w:p>
        </w:tc>
        <w:tc>
          <w:tcPr>
            <w:tcW w:type="dxa" w:w="1728"/>
          </w:tcPr>
          <w:p>
            <w:r>
              <w:t>18,000</w:t>
            </w:r>
          </w:p>
        </w:tc>
        <w:tc>
          <w:tcPr>
            <w:tcW w:type="dxa" w:w="1728"/>
          </w:tcPr>
          <w:p>
            <w:r>
              <w:t>22,000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Analyst, Developer, Designer</w:t>
            </w:r>
          </w:p>
        </w:tc>
        <w:tc>
          <w:tcPr>
            <w:tcW w:type="dxa" w:w="1728"/>
          </w:tcPr>
          <w:p>
            <w:r>
              <w:t>22,000</w:t>
            </w:r>
          </w:p>
        </w:tc>
        <w:tc>
          <w:tcPr>
            <w:tcW w:type="dxa" w:w="1728"/>
          </w:tcPr>
          <w:p>
            <w:r>
              <w:t>28,000</w:t>
            </w:r>
          </w:p>
        </w:tc>
        <w:tc>
          <w:tcPr>
            <w:tcW w:type="dxa" w:w="1728"/>
          </w:tcPr>
          <w:p>
            <w:r>
              <w:t>34,000</w:t>
            </w:r>
          </w:p>
        </w:tc>
      </w:tr>
      <w:tr>
        <w:tc>
          <w:tcPr>
            <w:tcW w:type="dxa" w:w="1728"/>
          </w:tcPr>
          <w:p>
            <w:r>
              <w:t>G4</w:t>
            </w:r>
          </w:p>
        </w:tc>
        <w:tc>
          <w:tcPr>
            <w:tcW w:type="dxa" w:w="1728"/>
          </w:tcPr>
          <w:p>
            <w:r>
              <w:t>Senior Analyst, Senior Developer</w:t>
            </w:r>
          </w:p>
        </w:tc>
        <w:tc>
          <w:tcPr>
            <w:tcW w:type="dxa" w:w="1728"/>
          </w:tcPr>
          <w:p>
            <w:r>
              <w:t>32,000</w:t>
            </w:r>
          </w:p>
        </w:tc>
        <w:tc>
          <w:tcPr>
            <w:tcW w:type="dxa" w:w="1728"/>
          </w:tcPr>
          <w:p>
            <w:r>
              <w:t>40,000</w:t>
            </w:r>
          </w:p>
        </w:tc>
        <w:tc>
          <w:tcPr>
            <w:tcW w:type="dxa" w:w="1728"/>
          </w:tcPr>
          <w:p>
            <w:r>
              <w:t>48,000</w:t>
            </w:r>
          </w:p>
        </w:tc>
      </w:tr>
      <w:tr>
        <w:tc>
          <w:tcPr>
            <w:tcW w:type="dxa" w:w="1728"/>
          </w:tcPr>
          <w:p>
            <w:r>
              <w:t>G5</w:t>
            </w:r>
          </w:p>
        </w:tc>
        <w:tc>
          <w:tcPr>
            <w:tcW w:type="dxa" w:w="1728"/>
          </w:tcPr>
          <w:p>
            <w:r>
              <w:t>Lead, Product Manager</w:t>
            </w:r>
          </w:p>
        </w:tc>
        <w:tc>
          <w:tcPr>
            <w:tcW w:type="dxa" w:w="1728"/>
          </w:tcPr>
          <w:p>
            <w:r>
              <w:t>45,000</w:t>
            </w:r>
          </w:p>
        </w:tc>
        <w:tc>
          <w:tcPr>
            <w:tcW w:type="dxa" w:w="1728"/>
          </w:tcPr>
          <w:p>
            <w:r>
              <w:t>55,000</w:t>
            </w:r>
          </w:p>
        </w:tc>
        <w:tc>
          <w:tcPr>
            <w:tcW w:type="dxa" w:w="1728"/>
          </w:tcPr>
          <w:p>
            <w:r>
              <w:t>65,000</w:t>
            </w:r>
          </w:p>
        </w:tc>
      </w:tr>
      <w:tr>
        <w:tc>
          <w:tcPr>
            <w:tcW w:type="dxa" w:w="1728"/>
          </w:tcPr>
          <w:p>
            <w:r>
              <w:t>G6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60,000</w:t>
            </w:r>
          </w:p>
        </w:tc>
        <w:tc>
          <w:tcPr>
            <w:tcW w:type="dxa" w:w="1728"/>
          </w:tcPr>
          <w:p>
            <w:r>
              <w:t>75,000</w:t>
            </w:r>
          </w:p>
        </w:tc>
        <w:tc>
          <w:tcPr>
            <w:tcW w:type="dxa" w:w="1728"/>
          </w:tcPr>
          <w:p>
            <w:r>
              <w:t>90,000</w:t>
            </w:r>
          </w:p>
        </w:tc>
      </w:tr>
      <w:tr>
        <w:tc>
          <w:tcPr>
            <w:tcW w:type="dxa" w:w="1728"/>
          </w:tcPr>
          <w:p>
            <w:r>
              <w:t>G7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  <w:tc>
          <w:tcPr>
            <w:tcW w:type="dxa" w:w="1728"/>
          </w:tcPr>
          <w:p>
            <w:r>
              <w:t>85,000</w:t>
            </w:r>
          </w:p>
        </w:tc>
        <w:tc>
          <w:tcPr>
            <w:tcW w:type="dxa" w:w="1728"/>
          </w:tcPr>
          <w:p>
            <w:r>
              <w:t>105,000</w:t>
            </w:r>
          </w:p>
        </w:tc>
        <w:tc>
          <w:tcPr>
            <w:tcW w:type="dxa" w:w="1728"/>
          </w:tcPr>
          <w:p>
            <w:r>
              <w:t>125,000</w:t>
            </w:r>
          </w:p>
        </w:tc>
      </w:tr>
      <w:tr>
        <w:tc>
          <w:tcPr>
            <w:tcW w:type="dxa" w:w="1728"/>
          </w:tcPr>
          <w:p>
            <w:r>
              <w:t>G8</w:t>
            </w:r>
          </w:p>
        </w:tc>
        <w:tc>
          <w:tcPr>
            <w:tcW w:type="dxa" w:w="1728"/>
          </w:tcPr>
          <w:p>
            <w:r>
              <w:t>Executive</w:t>
            </w:r>
          </w:p>
        </w:tc>
        <w:tc>
          <w:tcPr>
            <w:tcW w:type="dxa" w:w="1728"/>
          </w:tcPr>
          <w:p>
            <w:r>
              <w:t>120,000</w:t>
            </w:r>
          </w:p>
        </w:tc>
        <w:tc>
          <w:tcPr>
            <w:tcW w:type="dxa" w:w="1728"/>
          </w:tcPr>
          <w:p>
            <w:r>
              <w:t>150,000</w:t>
            </w:r>
          </w:p>
        </w:tc>
        <w:tc>
          <w:tcPr>
            <w:tcW w:type="dxa" w:w="1728"/>
          </w:tcPr>
          <w:p>
            <w:r>
              <w:t>180,000</w:t>
            </w:r>
          </w:p>
        </w:tc>
      </w:tr>
    </w:tbl>
    <w:p>
      <w:pPr>
        <w:pStyle w:val="Heading1"/>
      </w:pPr>
      <w:r>
        <w:t>3. Rules</w:t>
      </w:r>
    </w:p>
    <w:p>
      <w:r>
        <w:t>3.1 New hires are normally offered a salary between the minimum and the midpoint of their grade. Offers above the midpoint need approval from the Head of People.</w:t>
      </w:r>
    </w:p>
    <w:p>
      <w:r>
        <w:t>3.2 On promotion, base salary increases by at least 10% or to the minimum of the new grade, whichever is higher.</w:t>
      </w:r>
    </w:p>
    <w:p>
      <w:r>
        <w:t>3.3 When a salary is above the band maximum, the base salary is frozen and merit increases are paid as a one-off bonus until the band catches 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·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Nilebyte Solutions · HR-SB-08 · Version 2026.1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 Bands 2026</dc:title>
  <dc:subject/>
  <dc:creator>People Operations (Reward)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