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81CB" w14:textId="77777777" w:rsidR="00F467E4" w:rsidRDefault="00000000">
      <w:pPr>
        <w:pStyle w:val="Title"/>
        <w:jc w:val="center"/>
      </w:pPr>
      <w:r>
        <w:rPr>
          <w:rFonts w:ascii="Arial" w:eastAsia="Arial" w:hAnsi="Arial" w:cs="Arial"/>
        </w:rPr>
        <w:t>Mushir Client Report: How The Chatbot Works</w:t>
      </w:r>
    </w:p>
    <w:p w14:paraId="1A1334F2" w14:textId="77777777" w:rsidR="00F467E4" w:rsidRDefault="00000000">
      <w:pPr>
        <w:spacing w:after="120"/>
      </w:pPr>
      <w:r>
        <w:rPr>
          <w:rFonts w:eastAsia="Arial"/>
        </w:rPr>
        <w:t>Last refreshed: 2026-05-17</w:t>
      </w:r>
    </w:p>
    <w:p w14:paraId="6DE2E67A" w14:textId="77777777" w:rsidR="00F467E4" w:rsidRDefault="00000000">
      <w:pPr>
        <w:spacing w:after="120"/>
      </w:pPr>
      <w:r>
        <w:rPr>
          <w:rFonts w:eastAsia="Arial"/>
        </w:rPr>
        <w:t>This report explains Mushir in plain language for a non-technical client. It focuses on what the system does, how it keeps answers safe, and what a reviewer should expect from the live chatbot.</w:t>
      </w:r>
    </w:p>
    <w:p w14:paraId="34B0C9DC" w14:textId="77777777" w:rsidR="00F467E4" w:rsidRDefault="00000000">
      <w:pPr>
        <w:pStyle w:val="Heading1"/>
      </w:pPr>
      <w:r>
        <w:rPr>
          <w:rFonts w:ascii="Arial" w:eastAsia="Arial" w:hAnsi="Arial" w:cs="Arial"/>
        </w:rPr>
        <w:t>Executive Summary</w:t>
      </w:r>
    </w:p>
    <w:p w14:paraId="7D3CDA5B" w14:textId="77777777" w:rsidR="00F467E4" w:rsidRDefault="00000000">
      <w:pPr>
        <w:spacing w:after="120"/>
      </w:pPr>
      <w:r>
        <w:rPr>
          <w:rFonts w:eastAsia="Arial"/>
        </w:rPr>
        <w:t>Mushir is a Sharia compliance research chatbot for Islamic finance questions. It searches the provided AAOIFI Financial Accounting Standards, gives citation-backed informational guidance, and avoids guessing when the evidence is weak.</w:t>
      </w:r>
    </w:p>
    <w:p w14:paraId="2291C24E" w14:textId="77777777" w:rsidR="00F467E4" w:rsidRDefault="00000000">
      <w:pPr>
        <w:spacing w:after="120"/>
      </w:pPr>
      <w:r>
        <w:rPr>
          <w:rFonts w:eastAsia="Arial"/>
        </w:rPr>
        <w:t>Mushir is not a scholar and does not issue binding fatwas. It is best understood as a careful assistant that helps users find and summarize relevant AAOIFI evidence before a qualified Sharia scholar or compliance team makes the final decision.</w:t>
      </w:r>
    </w:p>
    <w:p w14:paraId="4CD7FDE1" w14:textId="77777777" w:rsidR="00F467E4" w:rsidRDefault="00000000">
      <w:pPr>
        <w:pStyle w:val="Heading1"/>
      </w:pPr>
      <w:r>
        <w:rPr>
          <w:rFonts w:ascii="Arial" w:eastAsia="Arial" w:hAnsi="Arial" w:cs="Arial"/>
        </w:rPr>
        <w:t>What Mushir Does</w:t>
      </w:r>
    </w:p>
    <w:tbl>
      <w:tblPr>
        <w:tblStyle w:val="TableGrid"/>
        <w:tblW w:w="0" w:type="auto"/>
        <w:jc w:val="center"/>
        <w:tblLook w:val="04A0" w:firstRow="1" w:lastRow="0" w:firstColumn="1" w:lastColumn="0" w:noHBand="0" w:noVBand="1"/>
      </w:tblPr>
      <w:tblGrid>
        <w:gridCol w:w="3024"/>
        <w:gridCol w:w="7056"/>
      </w:tblGrid>
      <w:tr w:rsidR="00F467E4" w14:paraId="11B52773" w14:textId="77777777">
        <w:trPr>
          <w:tblHeader/>
          <w:jc w:val="center"/>
        </w:trPr>
        <w:tc>
          <w:tcPr>
            <w:tcW w:w="3024" w:type="dxa"/>
            <w:shd w:val="clear" w:color="auto" w:fill="E2E8F0"/>
            <w:vAlign w:val="center"/>
          </w:tcPr>
          <w:p w14:paraId="15338EE3" w14:textId="77777777" w:rsidR="00F467E4" w:rsidRDefault="00000000">
            <w:r>
              <w:rPr>
                <w:rFonts w:eastAsia="Arial"/>
                <w:b/>
              </w:rPr>
              <w:t>Client need</w:t>
            </w:r>
          </w:p>
        </w:tc>
        <w:tc>
          <w:tcPr>
            <w:tcW w:w="7056" w:type="dxa"/>
            <w:shd w:val="clear" w:color="auto" w:fill="E2E8F0"/>
            <w:vAlign w:val="center"/>
          </w:tcPr>
          <w:p w14:paraId="75FD4E63" w14:textId="77777777" w:rsidR="00F467E4" w:rsidRDefault="00000000">
            <w:r>
              <w:rPr>
                <w:rFonts w:eastAsia="Arial"/>
                <w:b/>
              </w:rPr>
              <w:t>Mushir behavior</w:t>
            </w:r>
          </w:p>
        </w:tc>
      </w:tr>
      <w:tr w:rsidR="00F467E4" w14:paraId="54E1F3D1" w14:textId="77777777">
        <w:trPr>
          <w:jc w:val="center"/>
        </w:trPr>
        <w:tc>
          <w:tcPr>
            <w:tcW w:w="3024" w:type="dxa"/>
          </w:tcPr>
          <w:p w14:paraId="6DB72770" w14:textId="77777777" w:rsidR="00F467E4" w:rsidRDefault="00000000">
            <w:r>
              <w:rPr>
                <w:rFonts w:eastAsia="Arial"/>
              </w:rPr>
              <w:t>Ask in English or Arabic</w:t>
            </w:r>
          </w:p>
        </w:tc>
        <w:tc>
          <w:tcPr>
            <w:tcW w:w="7056" w:type="dxa"/>
          </w:tcPr>
          <w:p w14:paraId="2670EA87" w14:textId="77777777" w:rsidR="00F467E4" w:rsidRDefault="00000000">
            <w:r>
              <w:rPr>
                <w:rFonts w:eastAsia="Arial"/>
              </w:rPr>
              <w:t>Accepts English, Arabic, and mixed-language questions</w:t>
            </w:r>
          </w:p>
        </w:tc>
      </w:tr>
      <w:tr w:rsidR="00F467E4" w14:paraId="0D3B9F33" w14:textId="77777777">
        <w:trPr>
          <w:jc w:val="center"/>
        </w:trPr>
        <w:tc>
          <w:tcPr>
            <w:tcW w:w="3024" w:type="dxa"/>
          </w:tcPr>
          <w:p w14:paraId="7B536A4B" w14:textId="77777777" w:rsidR="00F467E4" w:rsidRDefault="00000000">
            <w:r>
              <w:rPr>
                <w:rFonts w:eastAsia="Arial"/>
              </w:rPr>
              <w:t>Ask a broad or unclear question</w:t>
            </w:r>
          </w:p>
        </w:tc>
        <w:tc>
          <w:tcPr>
            <w:tcW w:w="7056" w:type="dxa"/>
          </w:tcPr>
          <w:p w14:paraId="4A21C97D" w14:textId="77777777" w:rsidR="00F467E4" w:rsidRDefault="00000000">
            <w:r>
              <w:rPr>
                <w:rFonts w:eastAsia="Arial"/>
              </w:rPr>
              <w:t>Asks one focused follow-up question</w:t>
            </w:r>
          </w:p>
        </w:tc>
      </w:tr>
      <w:tr w:rsidR="00F467E4" w14:paraId="2545EC3C" w14:textId="77777777">
        <w:trPr>
          <w:jc w:val="center"/>
        </w:trPr>
        <w:tc>
          <w:tcPr>
            <w:tcW w:w="3024" w:type="dxa"/>
          </w:tcPr>
          <w:p w14:paraId="43571263" w14:textId="77777777" w:rsidR="00F467E4" w:rsidRDefault="00000000">
            <w:r>
              <w:rPr>
                <w:rFonts w:eastAsia="Arial"/>
              </w:rPr>
              <w:t>Ask a definition question</w:t>
            </w:r>
          </w:p>
        </w:tc>
        <w:tc>
          <w:tcPr>
            <w:tcW w:w="7056" w:type="dxa"/>
          </w:tcPr>
          <w:p w14:paraId="7E6935E7" w14:textId="77777777" w:rsidR="00F467E4" w:rsidRDefault="00000000">
            <w:r>
              <w:rPr>
                <w:rFonts w:eastAsia="Arial"/>
              </w:rPr>
              <w:t>Gives a short source-backed definition when the standard contains one</w:t>
            </w:r>
          </w:p>
        </w:tc>
      </w:tr>
      <w:tr w:rsidR="00F467E4" w14:paraId="1F1F7679" w14:textId="77777777">
        <w:trPr>
          <w:jc w:val="center"/>
        </w:trPr>
        <w:tc>
          <w:tcPr>
            <w:tcW w:w="3024" w:type="dxa"/>
          </w:tcPr>
          <w:p w14:paraId="06848375" w14:textId="77777777" w:rsidR="00F467E4" w:rsidRDefault="00000000">
            <w:r>
              <w:rPr>
                <w:rFonts w:eastAsia="Arial"/>
              </w:rPr>
              <w:t>Ask a transaction compliance question</w:t>
            </w:r>
          </w:p>
        </w:tc>
        <w:tc>
          <w:tcPr>
            <w:tcW w:w="7056" w:type="dxa"/>
          </w:tcPr>
          <w:p w14:paraId="24B3C1D3" w14:textId="77777777" w:rsidR="00F467E4" w:rsidRDefault="00000000">
            <w:r>
              <w:rPr>
                <w:rFonts w:eastAsia="Arial"/>
              </w:rPr>
              <w:t>Searches the standards and answers only with citations</w:t>
            </w:r>
          </w:p>
        </w:tc>
      </w:tr>
      <w:tr w:rsidR="00F467E4" w14:paraId="6805E31D" w14:textId="77777777">
        <w:trPr>
          <w:jc w:val="center"/>
        </w:trPr>
        <w:tc>
          <w:tcPr>
            <w:tcW w:w="3024" w:type="dxa"/>
          </w:tcPr>
          <w:p w14:paraId="1510C9FD" w14:textId="77777777" w:rsidR="00F467E4" w:rsidRDefault="00000000">
            <w:r>
              <w:rPr>
                <w:rFonts w:eastAsia="Arial"/>
              </w:rPr>
              <w:t>Ask for a binding ruling or fatwa</w:t>
            </w:r>
          </w:p>
        </w:tc>
        <w:tc>
          <w:tcPr>
            <w:tcW w:w="7056" w:type="dxa"/>
          </w:tcPr>
          <w:p w14:paraId="4021B412" w14:textId="77777777" w:rsidR="00F467E4" w:rsidRDefault="00000000">
            <w:r>
              <w:rPr>
                <w:rFonts w:eastAsia="Arial"/>
              </w:rPr>
              <w:t>Refuses and explains its informational-only scope</w:t>
            </w:r>
          </w:p>
        </w:tc>
      </w:tr>
      <w:tr w:rsidR="00F467E4" w14:paraId="6646419A" w14:textId="77777777">
        <w:trPr>
          <w:jc w:val="center"/>
        </w:trPr>
        <w:tc>
          <w:tcPr>
            <w:tcW w:w="3024" w:type="dxa"/>
          </w:tcPr>
          <w:p w14:paraId="44E6C1CD" w14:textId="77777777" w:rsidR="00F467E4" w:rsidRDefault="00000000">
            <w:r>
              <w:rPr>
                <w:rFonts w:eastAsia="Arial"/>
              </w:rPr>
              <w:t>Ask something unsupported by the documents</w:t>
            </w:r>
          </w:p>
        </w:tc>
        <w:tc>
          <w:tcPr>
            <w:tcW w:w="7056" w:type="dxa"/>
          </w:tcPr>
          <w:p w14:paraId="63A5AF62" w14:textId="77777777" w:rsidR="00F467E4" w:rsidRDefault="00000000">
            <w:r>
              <w:rPr>
                <w:rFonts w:eastAsia="Arial"/>
              </w:rPr>
              <w:t xml:space="preserve">Returns </w:t>
            </w:r>
            <w:r>
              <w:rPr>
                <w:rFonts w:ascii="Consolas" w:eastAsia="Consolas" w:hAnsi="Consolas" w:cs="Consolas"/>
                <w:sz w:val="19"/>
              </w:rPr>
              <w:t>INSUFFICIENT_DATA</w:t>
            </w:r>
            <w:r>
              <w:rPr>
                <w:rFonts w:eastAsia="Arial"/>
              </w:rPr>
              <w:t xml:space="preserve"> instead of guessing</w:t>
            </w:r>
          </w:p>
        </w:tc>
      </w:tr>
    </w:tbl>
    <w:p w14:paraId="304FAC94" w14:textId="77777777" w:rsidR="00F467E4" w:rsidRDefault="00000000">
      <w:r>
        <w:br w:type="page"/>
      </w:r>
    </w:p>
    <w:p w14:paraId="7B9C785D" w14:textId="77777777" w:rsidR="00F467E4" w:rsidRDefault="00000000">
      <w:pPr>
        <w:pStyle w:val="Heading1"/>
      </w:pPr>
      <w:r>
        <w:rPr>
          <w:rFonts w:ascii="Arial" w:eastAsia="Arial" w:hAnsi="Arial" w:cs="Arial"/>
        </w:rPr>
        <w:lastRenderedPageBreak/>
        <w:t>The Simple Flow</w:t>
      </w:r>
    </w:p>
    <w:p w14:paraId="3CC27661" w14:textId="77777777" w:rsidR="00F467E4" w:rsidRDefault="00000000">
      <w:pPr>
        <w:jc w:val="center"/>
      </w:pPr>
      <w:r>
        <w:rPr>
          <w:noProof/>
        </w:rPr>
        <w:drawing>
          <wp:inline distT="0" distB="0" distL="0" distR="0" wp14:anchorId="12A37A4B" wp14:editId="24974C77">
            <wp:extent cx="5943600" cy="6519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_flowchart.png"/>
                    <pic:cNvPicPr/>
                  </pic:nvPicPr>
                  <pic:blipFill>
                    <a:blip r:embed="rId8"/>
                    <a:stretch>
                      <a:fillRect/>
                    </a:stretch>
                  </pic:blipFill>
                  <pic:spPr>
                    <a:xfrm>
                      <a:off x="0" y="0"/>
                      <a:ext cx="5943600" cy="6519204"/>
                    </a:xfrm>
                    <a:prstGeom prst="rect">
                      <a:avLst/>
                    </a:prstGeom>
                  </pic:spPr>
                </pic:pic>
              </a:graphicData>
            </a:graphic>
          </wp:inline>
        </w:drawing>
      </w:r>
    </w:p>
    <w:p w14:paraId="0B4444FA" w14:textId="77777777" w:rsidR="00F467E4" w:rsidRDefault="00000000">
      <w:pPr>
        <w:pStyle w:val="Heading1"/>
      </w:pPr>
      <w:r>
        <w:rPr>
          <w:rFonts w:ascii="Arial" w:eastAsia="Arial" w:hAnsi="Arial" w:cs="Arial"/>
        </w:rPr>
        <w:t>Why The System Is Cautious</w:t>
      </w:r>
    </w:p>
    <w:p w14:paraId="5516E736" w14:textId="77777777" w:rsidR="00F467E4" w:rsidRDefault="00000000">
      <w:pPr>
        <w:spacing w:after="120"/>
      </w:pPr>
      <w:r>
        <w:rPr>
          <w:rFonts w:eastAsia="Arial"/>
        </w:rPr>
        <w:t>Islamic finance answers depend on details. For example, a Murabaha transaction can depend on ownership, asset transfer, price disclosure, profit disclosure, and payment terms. If those facts are missing, a confident answer would be risky.</w:t>
      </w:r>
    </w:p>
    <w:p w14:paraId="6AB0EBE4" w14:textId="77777777" w:rsidR="00F467E4" w:rsidRDefault="00000000">
      <w:pPr>
        <w:spacing w:after="120"/>
      </w:pPr>
      <w:r>
        <w:rPr>
          <w:rFonts w:eastAsia="Arial"/>
        </w:rPr>
        <w:t>Mushir is designed to be helpful without pretending to know more than the documents support.</w:t>
      </w:r>
    </w:p>
    <w:p w14:paraId="20566B89" w14:textId="77777777" w:rsidR="00F467E4" w:rsidRDefault="00000000">
      <w:pPr>
        <w:jc w:val="center"/>
      </w:pPr>
      <w:r>
        <w:rPr>
          <w:noProof/>
        </w:rPr>
        <w:lastRenderedPageBreak/>
        <w:drawing>
          <wp:inline distT="0" distB="0" distL="0" distR="0" wp14:anchorId="5B5D3411" wp14:editId="21A34AEB">
            <wp:extent cx="5669280" cy="3830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pie.png"/>
                    <pic:cNvPicPr/>
                  </pic:nvPicPr>
                  <pic:blipFill>
                    <a:blip r:embed="rId9"/>
                    <a:stretch>
                      <a:fillRect/>
                    </a:stretch>
                  </pic:blipFill>
                  <pic:spPr>
                    <a:xfrm>
                      <a:off x="0" y="0"/>
                      <a:ext cx="5669280" cy="3830469"/>
                    </a:xfrm>
                    <a:prstGeom prst="rect">
                      <a:avLst/>
                    </a:prstGeom>
                  </pic:spPr>
                </pic:pic>
              </a:graphicData>
            </a:graphic>
          </wp:inline>
        </w:drawing>
      </w:r>
    </w:p>
    <w:p w14:paraId="2E683B37" w14:textId="77777777" w:rsidR="00F467E4" w:rsidRDefault="00000000">
      <w:pPr>
        <w:spacing w:after="120"/>
      </w:pPr>
      <w:r>
        <w:rPr>
          <w:rFonts w:eastAsia="Arial"/>
        </w:rPr>
        <w:t>The exact percentages above are representative, not production analytics. They show the intended balance: Mushir should not always answer. Sometimes the safest and most useful response is a clarification, refusal, or evidence gap.</w:t>
      </w:r>
    </w:p>
    <w:p w14:paraId="6FB47BA7" w14:textId="77777777" w:rsidR="00F467E4" w:rsidRDefault="00000000">
      <w:pPr>
        <w:pStyle w:val="Heading1"/>
      </w:pPr>
      <w:r>
        <w:rPr>
          <w:rFonts w:ascii="Arial" w:eastAsia="Arial" w:hAnsi="Arial" w:cs="Arial"/>
        </w:rPr>
        <w:t>Example User Journeys</w:t>
      </w:r>
    </w:p>
    <w:p w14:paraId="79F8AB3A" w14:textId="77777777" w:rsidR="00F467E4" w:rsidRDefault="00000000">
      <w:pPr>
        <w:pStyle w:val="Heading2"/>
      </w:pPr>
      <w:r>
        <w:rPr>
          <w:rFonts w:ascii="Arial" w:eastAsia="Arial" w:hAnsi="Arial" w:cs="Arial"/>
        </w:rPr>
        <w:t>1. A clear definition question</w:t>
      </w:r>
    </w:p>
    <w:p w14:paraId="53CDD01F" w14:textId="77777777" w:rsidR="00F467E4" w:rsidRDefault="00000000">
      <w:pPr>
        <w:spacing w:after="120"/>
      </w:pPr>
      <w:r>
        <w:rPr>
          <w:rFonts w:eastAsia="Arial"/>
        </w:rPr>
        <w:t>User asks:</w:t>
      </w:r>
    </w:p>
    <w:p w14:paraId="19B61F70" w14:textId="77777777" w:rsidR="00F467E4" w:rsidRDefault="00000000">
      <w:pPr>
        <w:pStyle w:val="Quote"/>
        <w:bidi/>
        <w:jc w:val="right"/>
      </w:pPr>
      <w:r>
        <w:rPr>
          <w:rFonts w:eastAsia="Arial"/>
          <w:rtl/>
        </w:rPr>
        <w:t>ما هي المرابحة؟</w:t>
      </w:r>
    </w:p>
    <w:p w14:paraId="7AE0CDEC" w14:textId="77777777" w:rsidR="00F467E4" w:rsidRDefault="00000000">
      <w:pPr>
        <w:spacing w:after="120"/>
      </w:pPr>
      <w:r>
        <w:rPr>
          <w:rFonts w:eastAsia="Arial"/>
        </w:rPr>
        <w:t>Expected behavior:</w:t>
      </w:r>
    </w:p>
    <w:p w14:paraId="1D48C674" w14:textId="77777777" w:rsidR="00F467E4" w:rsidRDefault="00000000">
      <w:pPr>
        <w:pStyle w:val="ListNumber"/>
      </w:pPr>
      <w:r>
        <w:rPr>
          <w:rFonts w:eastAsia="Arial"/>
        </w:rPr>
        <w:t>Mushir recognizes this as a definition question.</w:t>
      </w:r>
    </w:p>
    <w:p w14:paraId="0BF22364" w14:textId="77777777" w:rsidR="00F467E4" w:rsidRDefault="00000000">
      <w:pPr>
        <w:pStyle w:val="ListNumber"/>
      </w:pPr>
      <w:r>
        <w:rPr>
          <w:rFonts w:eastAsia="Arial"/>
        </w:rPr>
        <w:t>It searches the AAOIFI excerpts.</w:t>
      </w:r>
    </w:p>
    <w:p w14:paraId="63445F3C" w14:textId="77777777" w:rsidR="00F467E4" w:rsidRDefault="00000000">
      <w:pPr>
        <w:pStyle w:val="ListNumber"/>
      </w:pPr>
      <w:r>
        <w:rPr>
          <w:rFonts w:eastAsia="Arial"/>
        </w:rPr>
        <w:t>It finds a citable Murabaha definition.</w:t>
      </w:r>
    </w:p>
    <w:p w14:paraId="51066B92" w14:textId="77777777" w:rsidR="00F467E4" w:rsidRDefault="00000000">
      <w:pPr>
        <w:pStyle w:val="ListNumber"/>
      </w:pPr>
      <w:r>
        <w:rPr>
          <w:rFonts w:eastAsia="Arial"/>
        </w:rPr>
        <w:t xml:space="preserve">It returns the definition with a citation such as </w:t>
      </w:r>
      <w:r>
        <w:rPr>
          <w:rFonts w:ascii="Consolas" w:eastAsia="Consolas" w:hAnsi="Consolas" w:cs="Consolas"/>
          <w:sz w:val="19"/>
        </w:rPr>
        <w:t>[FAS-28]</w:t>
      </w:r>
      <w:r>
        <w:rPr>
          <w:rFonts w:eastAsia="Arial"/>
        </w:rPr>
        <w:t>.</w:t>
      </w:r>
    </w:p>
    <w:p w14:paraId="7E5993A8" w14:textId="77777777" w:rsidR="00F467E4" w:rsidRDefault="00000000">
      <w:pPr>
        <w:pStyle w:val="ListNumber"/>
      </w:pPr>
      <w:r>
        <w:rPr>
          <w:rFonts w:eastAsia="Arial"/>
        </w:rPr>
        <w:t>It explains that a definition is not the same as a full compliance ruling.</w:t>
      </w:r>
    </w:p>
    <w:p w14:paraId="4D828925" w14:textId="77777777" w:rsidR="00F467E4" w:rsidRDefault="00000000">
      <w:pPr>
        <w:spacing w:after="120"/>
      </w:pPr>
      <w:r>
        <w:rPr>
          <w:rFonts w:eastAsia="Arial"/>
        </w:rPr>
        <w:t>Latest live verification:</w:t>
      </w:r>
    </w:p>
    <w:tbl>
      <w:tblPr>
        <w:tblStyle w:val="TableGrid"/>
        <w:tblW w:w="0" w:type="auto"/>
        <w:jc w:val="center"/>
        <w:tblLook w:val="04A0" w:firstRow="1" w:lastRow="0" w:firstColumn="1" w:lastColumn="0" w:noHBand="0" w:noVBand="1"/>
      </w:tblPr>
      <w:tblGrid>
        <w:gridCol w:w="3024"/>
        <w:gridCol w:w="7056"/>
      </w:tblGrid>
      <w:tr w:rsidR="00F467E4" w14:paraId="61250CA7" w14:textId="77777777">
        <w:trPr>
          <w:tblHeader/>
          <w:jc w:val="center"/>
        </w:trPr>
        <w:tc>
          <w:tcPr>
            <w:tcW w:w="3024" w:type="dxa"/>
            <w:shd w:val="clear" w:color="auto" w:fill="E2E8F0"/>
            <w:vAlign w:val="center"/>
          </w:tcPr>
          <w:p w14:paraId="23D426B0" w14:textId="77777777" w:rsidR="00F467E4" w:rsidRDefault="00000000">
            <w:r>
              <w:rPr>
                <w:rFonts w:eastAsia="Arial"/>
                <w:b/>
              </w:rPr>
              <w:t>Question</w:t>
            </w:r>
          </w:p>
        </w:tc>
        <w:tc>
          <w:tcPr>
            <w:tcW w:w="7056" w:type="dxa"/>
            <w:shd w:val="clear" w:color="auto" w:fill="E2E8F0"/>
            <w:vAlign w:val="center"/>
          </w:tcPr>
          <w:p w14:paraId="1CDCE40A" w14:textId="77777777" w:rsidR="00F467E4" w:rsidRDefault="00000000">
            <w:r>
              <w:rPr>
                <w:rFonts w:eastAsia="Arial"/>
                <w:b/>
              </w:rPr>
              <w:t>Result</w:t>
            </w:r>
          </w:p>
        </w:tc>
      </w:tr>
      <w:tr w:rsidR="00F467E4" w14:paraId="49976E27" w14:textId="77777777">
        <w:trPr>
          <w:jc w:val="center"/>
        </w:trPr>
        <w:tc>
          <w:tcPr>
            <w:tcW w:w="3024" w:type="dxa"/>
          </w:tcPr>
          <w:p w14:paraId="65634546" w14:textId="77777777" w:rsidR="00F467E4" w:rsidRDefault="00000000">
            <w:pPr>
              <w:bidi/>
              <w:jc w:val="right"/>
            </w:pPr>
            <w:r>
              <w:rPr>
                <w:rFonts w:eastAsia="Arial"/>
                <w:sz w:val="19"/>
                <w:rtl/>
              </w:rPr>
              <w:t>ما هي المرابحة؟</w:t>
            </w:r>
          </w:p>
        </w:tc>
        <w:tc>
          <w:tcPr>
            <w:tcW w:w="7056" w:type="dxa"/>
          </w:tcPr>
          <w:p w14:paraId="2C6569C5" w14:textId="77777777" w:rsidR="00F467E4" w:rsidRDefault="00000000">
            <w:r>
              <w:rPr>
                <w:rFonts w:ascii="Consolas" w:eastAsia="Consolas" w:hAnsi="Consolas" w:cs="Consolas"/>
                <w:sz w:val="19"/>
              </w:rPr>
              <w:t>INSUFFICIENT_DATA</w:t>
            </w:r>
            <w:r>
              <w:rPr>
                <w:rFonts w:eastAsia="Arial"/>
              </w:rPr>
              <w:t>, 1 citation, no clarification</w:t>
            </w:r>
          </w:p>
        </w:tc>
      </w:tr>
      <w:tr w:rsidR="00F467E4" w14:paraId="53C30569" w14:textId="77777777">
        <w:trPr>
          <w:jc w:val="center"/>
        </w:trPr>
        <w:tc>
          <w:tcPr>
            <w:tcW w:w="3024" w:type="dxa"/>
          </w:tcPr>
          <w:p w14:paraId="5169A1DD" w14:textId="77777777" w:rsidR="00F467E4" w:rsidRDefault="00000000">
            <w:r>
              <w:rPr>
                <w:rFonts w:ascii="Consolas" w:eastAsia="Consolas" w:hAnsi="Consolas" w:cs="Consolas"/>
                <w:sz w:val="19"/>
              </w:rPr>
              <w:t>What is Murabaha?</w:t>
            </w:r>
          </w:p>
        </w:tc>
        <w:tc>
          <w:tcPr>
            <w:tcW w:w="7056" w:type="dxa"/>
          </w:tcPr>
          <w:p w14:paraId="5C737100" w14:textId="77777777" w:rsidR="00F467E4" w:rsidRDefault="00000000">
            <w:r>
              <w:rPr>
                <w:rFonts w:ascii="Consolas" w:eastAsia="Consolas" w:hAnsi="Consolas" w:cs="Consolas"/>
                <w:sz w:val="19"/>
              </w:rPr>
              <w:t>INSUFFICIENT_DATA</w:t>
            </w:r>
            <w:r>
              <w:rPr>
                <w:rFonts w:eastAsia="Arial"/>
              </w:rPr>
              <w:t>, 1 citation, no clarification</w:t>
            </w:r>
          </w:p>
        </w:tc>
      </w:tr>
    </w:tbl>
    <w:p w14:paraId="7BB36302" w14:textId="77777777" w:rsidR="00F467E4" w:rsidRDefault="00000000">
      <w:pPr>
        <w:spacing w:after="120"/>
      </w:pPr>
      <w:r>
        <w:rPr>
          <w:rFonts w:eastAsia="Arial"/>
        </w:rPr>
        <w:t xml:space="preserve">The </w:t>
      </w:r>
      <w:r>
        <w:rPr>
          <w:rFonts w:ascii="Consolas" w:eastAsia="Consolas" w:hAnsi="Consolas" w:cs="Consolas"/>
          <w:sz w:val="19"/>
        </w:rPr>
        <w:t>INSUFFICIENT_DATA</w:t>
      </w:r>
      <w:r>
        <w:rPr>
          <w:rFonts w:eastAsia="Arial"/>
        </w:rPr>
        <w:t xml:space="preserve"> label is intentional here. The user asked for a definition, not a complete transaction ruling.</w:t>
      </w:r>
    </w:p>
    <w:p w14:paraId="2BEA4A13" w14:textId="77777777" w:rsidR="00F467E4" w:rsidRDefault="00000000">
      <w:pPr>
        <w:pStyle w:val="Heading2"/>
      </w:pPr>
      <w:r>
        <w:rPr>
          <w:rFonts w:ascii="Arial" w:eastAsia="Arial" w:hAnsi="Arial" w:cs="Arial"/>
        </w:rPr>
        <w:t>2. An unclear transaction question</w:t>
      </w:r>
    </w:p>
    <w:p w14:paraId="5628889A" w14:textId="77777777" w:rsidR="00F467E4" w:rsidRDefault="00000000">
      <w:pPr>
        <w:spacing w:after="120"/>
      </w:pPr>
      <w:r>
        <w:rPr>
          <w:rFonts w:eastAsia="Arial"/>
        </w:rPr>
        <w:t>User asks:</w:t>
      </w:r>
    </w:p>
    <w:p w14:paraId="6C0D63A5" w14:textId="77777777" w:rsidR="00F467E4" w:rsidRDefault="00000000">
      <w:pPr>
        <w:pStyle w:val="Quote"/>
        <w:bidi/>
        <w:jc w:val="right"/>
      </w:pPr>
      <w:r>
        <w:rPr>
          <w:rFonts w:eastAsia="Arial"/>
          <w:rtl/>
        </w:rPr>
        <w:lastRenderedPageBreak/>
        <w:t>أريد شراء سيارة بالمرابحة</w:t>
      </w:r>
    </w:p>
    <w:p w14:paraId="58B499C4" w14:textId="77777777" w:rsidR="00F467E4" w:rsidRDefault="00000000">
      <w:pPr>
        <w:spacing w:after="120"/>
      </w:pPr>
      <w:r>
        <w:rPr>
          <w:rFonts w:eastAsia="Arial"/>
        </w:rPr>
        <w:t>Expected behavior:</w:t>
      </w:r>
    </w:p>
    <w:p w14:paraId="237BD28A" w14:textId="77777777" w:rsidR="00F467E4" w:rsidRDefault="00000000">
      <w:pPr>
        <w:spacing w:after="120"/>
      </w:pPr>
      <w:r>
        <w:rPr>
          <w:rFonts w:eastAsia="Arial"/>
        </w:rPr>
        <w:t>Mushir should not ask a long checklist. It asks one focused follow-up question first:</w:t>
      </w:r>
    </w:p>
    <w:p w14:paraId="6048C5E8" w14:textId="77777777" w:rsidR="00F467E4" w:rsidRDefault="00000000">
      <w:pPr>
        <w:pStyle w:val="Quote"/>
        <w:bidi/>
        <w:jc w:val="right"/>
      </w:pPr>
      <w:r>
        <w:rPr>
          <w:rFonts w:eastAsia="Arial"/>
          <w:rtl/>
        </w:rPr>
        <w:t>ما هو نوع السلعة أو الأصل المراد شراؤه؟</w:t>
      </w:r>
    </w:p>
    <w:p w14:paraId="62DD43F3" w14:textId="77777777" w:rsidR="00F467E4" w:rsidRDefault="00000000">
      <w:pPr>
        <w:spacing w:after="120"/>
      </w:pPr>
      <w:r>
        <w:rPr>
          <w:rFonts w:eastAsia="Arial"/>
        </w:rPr>
        <w:t>This keeps the conversation simple while collecting the most important missing detail.</w:t>
      </w:r>
    </w:p>
    <w:p w14:paraId="5D84A5FB" w14:textId="77777777" w:rsidR="00F467E4" w:rsidRDefault="00000000">
      <w:pPr>
        <w:pStyle w:val="Heading2"/>
      </w:pPr>
      <w:r>
        <w:rPr>
          <w:rFonts w:ascii="Arial" w:eastAsia="Arial" w:hAnsi="Arial" w:cs="Arial"/>
        </w:rPr>
        <w:t>3. A request outside Mushir's authority</w:t>
      </w:r>
    </w:p>
    <w:p w14:paraId="44E06CD1" w14:textId="77777777" w:rsidR="00F467E4" w:rsidRDefault="00000000">
      <w:pPr>
        <w:spacing w:after="120"/>
      </w:pPr>
      <w:r>
        <w:rPr>
          <w:rFonts w:eastAsia="Arial"/>
        </w:rPr>
        <w:t>User asks:</w:t>
      </w:r>
    </w:p>
    <w:p w14:paraId="70BB7792" w14:textId="77777777" w:rsidR="00F467E4" w:rsidRDefault="00000000">
      <w:pPr>
        <w:pStyle w:val="Quote"/>
      </w:pPr>
      <w:r>
        <w:rPr>
          <w:rFonts w:eastAsia="Arial"/>
        </w:rPr>
        <w:t>Give me a binding fatwa.</w:t>
      </w:r>
    </w:p>
    <w:p w14:paraId="62E72096" w14:textId="77777777" w:rsidR="00F467E4" w:rsidRDefault="00000000">
      <w:pPr>
        <w:spacing w:after="120"/>
      </w:pPr>
      <w:r>
        <w:rPr>
          <w:rFonts w:eastAsia="Arial"/>
        </w:rPr>
        <w:t>Expected behavior:</w:t>
      </w:r>
    </w:p>
    <w:p w14:paraId="57DA00C5" w14:textId="77777777" w:rsidR="00F467E4" w:rsidRDefault="00000000">
      <w:pPr>
        <w:spacing w:after="120"/>
      </w:pPr>
      <w:r>
        <w:rPr>
          <w:rFonts w:eastAsia="Arial"/>
        </w:rPr>
        <w:t>Mushir refuses to issue a binding ruling and reminds the user that it only provides informational guidance from retrieved AAOIFI excerpts.</w:t>
      </w:r>
    </w:p>
    <w:p w14:paraId="615C5D15" w14:textId="77777777" w:rsidR="00F467E4" w:rsidRDefault="00000000">
      <w:r>
        <w:br w:type="page"/>
      </w:r>
    </w:p>
    <w:p w14:paraId="2F6BCE77" w14:textId="77777777" w:rsidR="00F467E4" w:rsidRDefault="00000000">
      <w:pPr>
        <w:pStyle w:val="Heading1"/>
      </w:pPr>
      <w:r>
        <w:rPr>
          <w:rFonts w:ascii="Arial" w:eastAsia="Arial" w:hAnsi="Arial" w:cs="Arial"/>
        </w:rPr>
        <w:lastRenderedPageBreak/>
        <w:t>What Happens Behind The Scenes</w:t>
      </w:r>
    </w:p>
    <w:p w14:paraId="55DC6AEB" w14:textId="77777777" w:rsidR="00F467E4" w:rsidRDefault="00000000">
      <w:pPr>
        <w:jc w:val="center"/>
      </w:pPr>
      <w:r>
        <w:rPr>
          <w:noProof/>
        </w:rPr>
        <w:drawing>
          <wp:inline distT="0" distB="0" distL="0" distR="0" wp14:anchorId="107DCB94" wp14:editId="44F794B4">
            <wp:extent cx="6126480" cy="423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_sequence.png"/>
                    <pic:cNvPicPr/>
                  </pic:nvPicPr>
                  <pic:blipFill>
                    <a:blip r:embed="rId10"/>
                    <a:stretch>
                      <a:fillRect/>
                    </a:stretch>
                  </pic:blipFill>
                  <pic:spPr>
                    <a:xfrm>
                      <a:off x="0" y="0"/>
                      <a:ext cx="6126480" cy="4230510"/>
                    </a:xfrm>
                    <a:prstGeom prst="rect">
                      <a:avLst/>
                    </a:prstGeom>
                  </pic:spPr>
                </pic:pic>
              </a:graphicData>
            </a:graphic>
          </wp:inline>
        </w:drawing>
      </w:r>
    </w:p>
    <w:p w14:paraId="03FEA25A" w14:textId="77777777" w:rsidR="00F467E4" w:rsidRDefault="00000000">
      <w:pPr>
        <w:pStyle w:val="Heading1"/>
      </w:pPr>
      <w:r>
        <w:rPr>
          <w:rFonts w:ascii="Arial" w:eastAsia="Arial" w:hAnsi="Arial" w:cs="Arial"/>
        </w:rPr>
        <w:t>Safety Controls</w:t>
      </w:r>
    </w:p>
    <w:tbl>
      <w:tblPr>
        <w:tblStyle w:val="TableGrid"/>
        <w:tblW w:w="0" w:type="auto"/>
        <w:jc w:val="center"/>
        <w:tblLook w:val="04A0" w:firstRow="1" w:lastRow="0" w:firstColumn="1" w:lastColumn="0" w:noHBand="0" w:noVBand="1"/>
      </w:tblPr>
      <w:tblGrid>
        <w:gridCol w:w="3024"/>
        <w:gridCol w:w="7056"/>
      </w:tblGrid>
      <w:tr w:rsidR="00F467E4" w14:paraId="44E1949D" w14:textId="77777777">
        <w:trPr>
          <w:tblHeader/>
          <w:jc w:val="center"/>
        </w:trPr>
        <w:tc>
          <w:tcPr>
            <w:tcW w:w="3024" w:type="dxa"/>
            <w:shd w:val="clear" w:color="auto" w:fill="E2E8F0"/>
            <w:vAlign w:val="center"/>
          </w:tcPr>
          <w:p w14:paraId="5AA6F62A" w14:textId="77777777" w:rsidR="00F467E4" w:rsidRDefault="00000000">
            <w:r>
              <w:rPr>
                <w:rFonts w:eastAsia="Arial"/>
                <w:b/>
              </w:rPr>
              <w:t>Risk</w:t>
            </w:r>
          </w:p>
        </w:tc>
        <w:tc>
          <w:tcPr>
            <w:tcW w:w="7056" w:type="dxa"/>
            <w:shd w:val="clear" w:color="auto" w:fill="E2E8F0"/>
            <w:vAlign w:val="center"/>
          </w:tcPr>
          <w:p w14:paraId="523E8E2F" w14:textId="77777777" w:rsidR="00F467E4" w:rsidRDefault="00000000">
            <w:r>
              <w:rPr>
                <w:rFonts w:eastAsia="Arial"/>
                <w:b/>
              </w:rPr>
              <w:t>Control</w:t>
            </w:r>
          </w:p>
        </w:tc>
      </w:tr>
      <w:tr w:rsidR="00F467E4" w14:paraId="08B8E7B9" w14:textId="77777777">
        <w:trPr>
          <w:jc w:val="center"/>
        </w:trPr>
        <w:tc>
          <w:tcPr>
            <w:tcW w:w="3024" w:type="dxa"/>
          </w:tcPr>
          <w:p w14:paraId="1D0F2853" w14:textId="77777777" w:rsidR="00F467E4" w:rsidRDefault="00000000">
            <w:r>
              <w:rPr>
                <w:rFonts w:eastAsia="Arial"/>
              </w:rPr>
              <w:t>The AI guesses from general knowledge</w:t>
            </w:r>
          </w:p>
        </w:tc>
        <w:tc>
          <w:tcPr>
            <w:tcW w:w="7056" w:type="dxa"/>
          </w:tcPr>
          <w:p w14:paraId="698AB118" w14:textId="77777777" w:rsidR="00F467E4" w:rsidRDefault="00000000">
            <w:r>
              <w:rPr>
                <w:rFonts w:eastAsia="Arial"/>
              </w:rPr>
              <w:t>Prompt requires answers only from retrieved AAOIFI excerpts</w:t>
            </w:r>
          </w:p>
        </w:tc>
      </w:tr>
      <w:tr w:rsidR="00F467E4" w14:paraId="56159E13" w14:textId="77777777">
        <w:trPr>
          <w:jc w:val="center"/>
        </w:trPr>
        <w:tc>
          <w:tcPr>
            <w:tcW w:w="3024" w:type="dxa"/>
          </w:tcPr>
          <w:p w14:paraId="389E5D4E" w14:textId="77777777" w:rsidR="00F467E4" w:rsidRDefault="00000000">
            <w:r>
              <w:rPr>
                <w:rFonts w:eastAsia="Arial"/>
              </w:rPr>
              <w:t>The AI invents a citation</w:t>
            </w:r>
          </w:p>
        </w:tc>
        <w:tc>
          <w:tcPr>
            <w:tcW w:w="7056" w:type="dxa"/>
          </w:tcPr>
          <w:p w14:paraId="2E6E3C8C" w14:textId="77777777" w:rsidR="00F467E4" w:rsidRDefault="00000000">
            <w:r>
              <w:rPr>
                <w:rFonts w:eastAsia="Arial"/>
              </w:rPr>
              <w:t>Citation validator keeps only citations backed by retrieved chunks</w:t>
            </w:r>
          </w:p>
        </w:tc>
      </w:tr>
      <w:tr w:rsidR="00F467E4" w14:paraId="4E3F4000" w14:textId="77777777">
        <w:trPr>
          <w:jc w:val="center"/>
        </w:trPr>
        <w:tc>
          <w:tcPr>
            <w:tcW w:w="3024" w:type="dxa"/>
          </w:tcPr>
          <w:p w14:paraId="165E293A" w14:textId="77777777" w:rsidR="00F467E4" w:rsidRDefault="00000000">
            <w:r>
              <w:rPr>
                <w:rFonts w:eastAsia="Arial"/>
              </w:rPr>
              <w:t>Arabic retrieval silently fails</w:t>
            </w:r>
          </w:p>
        </w:tc>
        <w:tc>
          <w:tcPr>
            <w:tcW w:w="7056" w:type="dxa"/>
          </w:tcPr>
          <w:p w14:paraId="3560663F" w14:textId="77777777" w:rsidR="00F467E4" w:rsidRDefault="00000000">
            <w:r>
              <w:rPr>
                <w:rFonts w:eastAsia="Arial"/>
              </w:rPr>
              <w:t>The app checks that the multilingual Arabic/English index is available</w:t>
            </w:r>
          </w:p>
        </w:tc>
      </w:tr>
      <w:tr w:rsidR="00F467E4" w14:paraId="73A9E464" w14:textId="77777777">
        <w:trPr>
          <w:jc w:val="center"/>
        </w:trPr>
        <w:tc>
          <w:tcPr>
            <w:tcW w:w="3024" w:type="dxa"/>
          </w:tcPr>
          <w:p w14:paraId="6B8713EB" w14:textId="77777777" w:rsidR="00F467E4" w:rsidRDefault="00000000">
            <w:r>
              <w:rPr>
                <w:rFonts w:eastAsia="Arial"/>
              </w:rPr>
              <w:t>User asks an unclear question</w:t>
            </w:r>
          </w:p>
        </w:tc>
        <w:tc>
          <w:tcPr>
            <w:tcW w:w="7056" w:type="dxa"/>
          </w:tcPr>
          <w:p w14:paraId="381408FF" w14:textId="77777777" w:rsidR="00F467E4" w:rsidRDefault="00000000">
            <w:r>
              <w:rPr>
                <w:rFonts w:eastAsia="Arial"/>
              </w:rPr>
              <w:t>Clarification engine asks exactly one focused follow-up</w:t>
            </w:r>
          </w:p>
        </w:tc>
      </w:tr>
      <w:tr w:rsidR="00F467E4" w14:paraId="734E2F61" w14:textId="77777777">
        <w:trPr>
          <w:jc w:val="center"/>
        </w:trPr>
        <w:tc>
          <w:tcPr>
            <w:tcW w:w="3024" w:type="dxa"/>
          </w:tcPr>
          <w:p w14:paraId="57ABD4A6" w14:textId="77777777" w:rsidR="00F467E4" w:rsidRDefault="00000000">
            <w:r>
              <w:rPr>
                <w:rFonts w:eastAsia="Arial"/>
              </w:rPr>
              <w:t>User asks for a fatwa or legal advice</w:t>
            </w:r>
          </w:p>
        </w:tc>
        <w:tc>
          <w:tcPr>
            <w:tcW w:w="7056" w:type="dxa"/>
          </w:tcPr>
          <w:p w14:paraId="7609DC1D" w14:textId="77777777" w:rsidR="00F467E4" w:rsidRDefault="00000000">
            <w:r>
              <w:rPr>
                <w:rFonts w:eastAsia="Arial"/>
              </w:rPr>
              <w:t>Authority guard refuses within informational scope</w:t>
            </w:r>
          </w:p>
        </w:tc>
      </w:tr>
      <w:tr w:rsidR="00F467E4" w14:paraId="70C9A527" w14:textId="77777777">
        <w:trPr>
          <w:jc w:val="center"/>
        </w:trPr>
        <w:tc>
          <w:tcPr>
            <w:tcW w:w="3024" w:type="dxa"/>
          </w:tcPr>
          <w:p w14:paraId="197C9D58" w14:textId="77777777" w:rsidR="00F467E4" w:rsidRDefault="00000000">
            <w:r>
              <w:rPr>
                <w:rFonts w:eastAsia="Arial"/>
              </w:rPr>
              <w:t>Provider or model fails</w:t>
            </w:r>
          </w:p>
        </w:tc>
        <w:tc>
          <w:tcPr>
            <w:tcW w:w="7056" w:type="dxa"/>
          </w:tcPr>
          <w:p w14:paraId="5CACEB3F" w14:textId="77777777" w:rsidR="00F467E4" w:rsidRDefault="00000000">
            <w:r>
              <w:rPr>
                <w:rFonts w:eastAsia="Arial"/>
              </w:rPr>
              <w:t>API returns safe, helpful error messages</w:t>
            </w:r>
          </w:p>
        </w:tc>
      </w:tr>
      <w:tr w:rsidR="00F467E4" w14:paraId="69D89FBC" w14:textId="77777777">
        <w:trPr>
          <w:jc w:val="center"/>
        </w:trPr>
        <w:tc>
          <w:tcPr>
            <w:tcW w:w="3024" w:type="dxa"/>
          </w:tcPr>
          <w:p w14:paraId="02D1BE23" w14:textId="77777777" w:rsidR="00F467E4" w:rsidRDefault="00000000">
            <w:r>
              <w:rPr>
                <w:rFonts w:eastAsia="Arial"/>
              </w:rPr>
              <w:t>Secrets appear in docs or errors</w:t>
            </w:r>
          </w:p>
        </w:tc>
        <w:tc>
          <w:tcPr>
            <w:tcW w:w="7056" w:type="dxa"/>
          </w:tcPr>
          <w:p w14:paraId="4377E6A8" w14:textId="77777777" w:rsidR="00F467E4" w:rsidRDefault="00000000">
            <w:r>
              <w:rPr>
                <w:rFonts w:eastAsia="Arial"/>
              </w:rPr>
              <w:t>Docs use placeholders and runtime errors are sanitized</w:t>
            </w:r>
          </w:p>
        </w:tc>
      </w:tr>
    </w:tbl>
    <w:p w14:paraId="3674E4EF" w14:textId="77777777" w:rsidR="00F467E4" w:rsidRDefault="00000000">
      <w:r>
        <w:br w:type="page"/>
      </w:r>
    </w:p>
    <w:p w14:paraId="3D7F8568" w14:textId="77777777" w:rsidR="00F467E4" w:rsidRDefault="00000000">
      <w:pPr>
        <w:pStyle w:val="Heading1"/>
      </w:pPr>
      <w:r>
        <w:rPr>
          <w:rFonts w:ascii="Arial" w:eastAsia="Arial" w:hAnsi="Arial" w:cs="Arial"/>
        </w:rPr>
        <w:lastRenderedPageBreak/>
        <w:t>Quality Snapshot</w:t>
      </w:r>
    </w:p>
    <w:p w14:paraId="602DC5CA" w14:textId="77777777" w:rsidR="00F467E4" w:rsidRDefault="00000000">
      <w:pPr>
        <w:spacing w:after="120"/>
      </w:pPr>
      <w:r>
        <w:rPr>
          <w:rFonts w:eastAsia="Arial"/>
        </w:rPr>
        <w:t>Latest local verification after the Arabic definition citation update:</w:t>
      </w:r>
    </w:p>
    <w:p w14:paraId="5709BC82" w14:textId="77777777" w:rsidR="00F467E4" w:rsidRDefault="00000000">
      <w:pPr>
        <w:jc w:val="center"/>
      </w:pPr>
      <w:r>
        <w:rPr>
          <w:noProof/>
        </w:rPr>
        <w:drawing>
          <wp:inline distT="0" distB="0" distL="0" distR="0" wp14:anchorId="6910901C" wp14:editId="3B757064">
            <wp:extent cx="5669280" cy="3273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_xychart.png"/>
                    <pic:cNvPicPr/>
                  </pic:nvPicPr>
                  <pic:blipFill>
                    <a:blip r:embed="rId11"/>
                    <a:stretch>
                      <a:fillRect/>
                    </a:stretch>
                  </pic:blipFill>
                  <pic:spPr>
                    <a:xfrm>
                      <a:off x="0" y="0"/>
                      <a:ext cx="5669280" cy="3273809"/>
                    </a:xfrm>
                    <a:prstGeom prst="rect">
                      <a:avLst/>
                    </a:prstGeom>
                  </pic:spPr>
                </pic:pic>
              </a:graphicData>
            </a:graphic>
          </wp:inline>
        </w:drawing>
      </w:r>
    </w:p>
    <w:p w14:paraId="2B91B72C" w14:textId="77777777" w:rsidR="00F467E4" w:rsidRDefault="00000000">
      <w:pPr>
        <w:spacing w:after="120"/>
      </w:pPr>
      <w:r>
        <w:rPr>
          <w:rFonts w:eastAsia="Arial"/>
        </w:rPr>
        <w:t>Latest live deployment checks:</w:t>
      </w:r>
    </w:p>
    <w:tbl>
      <w:tblPr>
        <w:tblStyle w:val="TableGrid"/>
        <w:tblW w:w="0" w:type="auto"/>
        <w:jc w:val="center"/>
        <w:tblLook w:val="04A0" w:firstRow="1" w:lastRow="0" w:firstColumn="1" w:lastColumn="0" w:noHBand="0" w:noVBand="1"/>
      </w:tblPr>
      <w:tblGrid>
        <w:gridCol w:w="3024"/>
        <w:gridCol w:w="7056"/>
      </w:tblGrid>
      <w:tr w:rsidR="00F467E4" w14:paraId="4FCE14BF" w14:textId="77777777">
        <w:trPr>
          <w:tblHeader/>
          <w:jc w:val="center"/>
        </w:trPr>
        <w:tc>
          <w:tcPr>
            <w:tcW w:w="3024" w:type="dxa"/>
            <w:shd w:val="clear" w:color="auto" w:fill="E2E8F0"/>
            <w:vAlign w:val="center"/>
          </w:tcPr>
          <w:p w14:paraId="102CD4B3" w14:textId="77777777" w:rsidR="00F467E4" w:rsidRDefault="00000000">
            <w:r>
              <w:rPr>
                <w:rFonts w:eastAsia="Arial"/>
                <w:b/>
              </w:rPr>
              <w:t>Live check</w:t>
            </w:r>
          </w:p>
        </w:tc>
        <w:tc>
          <w:tcPr>
            <w:tcW w:w="7056" w:type="dxa"/>
            <w:shd w:val="clear" w:color="auto" w:fill="E2E8F0"/>
            <w:vAlign w:val="center"/>
          </w:tcPr>
          <w:p w14:paraId="22E895F8" w14:textId="77777777" w:rsidR="00F467E4" w:rsidRDefault="00000000">
            <w:r>
              <w:rPr>
                <w:rFonts w:eastAsia="Arial"/>
                <w:b/>
              </w:rPr>
              <w:t>Result</w:t>
            </w:r>
          </w:p>
        </w:tc>
      </w:tr>
      <w:tr w:rsidR="00F467E4" w14:paraId="4EA80078" w14:textId="77777777">
        <w:trPr>
          <w:jc w:val="center"/>
        </w:trPr>
        <w:tc>
          <w:tcPr>
            <w:tcW w:w="3024" w:type="dxa"/>
          </w:tcPr>
          <w:p w14:paraId="2FFED26F" w14:textId="77777777" w:rsidR="00F467E4" w:rsidRDefault="00000000">
            <w:r>
              <w:rPr>
                <w:rFonts w:eastAsia="Arial"/>
              </w:rPr>
              <w:t>Health endpoint</w:t>
            </w:r>
          </w:p>
        </w:tc>
        <w:tc>
          <w:tcPr>
            <w:tcW w:w="7056" w:type="dxa"/>
          </w:tcPr>
          <w:p w14:paraId="5DDBA724" w14:textId="77777777" w:rsidR="00F467E4" w:rsidRDefault="00000000">
            <w:r>
              <w:rPr>
                <w:rFonts w:eastAsia="Arial"/>
              </w:rPr>
              <w:t>Passed</w:t>
            </w:r>
          </w:p>
        </w:tc>
      </w:tr>
      <w:tr w:rsidR="00F467E4" w14:paraId="3F9FB239" w14:textId="77777777">
        <w:trPr>
          <w:jc w:val="center"/>
        </w:trPr>
        <w:tc>
          <w:tcPr>
            <w:tcW w:w="3024" w:type="dxa"/>
          </w:tcPr>
          <w:p w14:paraId="1E26E71E" w14:textId="77777777" w:rsidR="00F467E4" w:rsidRDefault="00000000">
            <w:r>
              <w:rPr>
                <w:rFonts w:eastAsia="Arial"/>
              </w:rPr>
              <w:t>Readiness endpoint</w:t>
            </w:r>
          </w:p>
        </w:tc>
        <w:tc>
          <w:tcPr>
            <w:tcW w:w="7056" w:type="dxa"/>
          </w:tcPr>
          <w:p w14:paraId="557D3679" w14:textId="77777777" w:rsidR="00F467E4" w:rsidRDefault="00000000">
            <w:r>
              <w:rPr>
                <w:rFonts w:eastAsia="Arial"/>
              </w:rPr>
              <w:t>Passed</w:t>
            </w:r>
          </w:p>
        </w:tc>
      </w:tr>
      <w:tr w:rsidR="00F467E4" w14:paraId="4AC4BEC3" w14:textId="77777777">
        <w:trPr>
          <w:jc w:val="center"/>
        </w:trPr>
        <w:tc>
          <w:tcPr>
            <w:tcW w:w="3024" w:type="dxa"/>
          </w:tcPr>
          <w:p w14:paraId="6C850E9E" w14:textId="77777777" w:rsidR="00F467E4" w:rsidRDefault="00000000">
            <w:r>
              <w:rPr>
                <w:rFonts w:eastAsia="Arial"/>
              </w:rPr>
              <w:t>English definition query</w:t>
            </w:r>
          </w:p>
        </w:tc>
        <w:tc>
          <w:tcPr>
            <w:tcW w:w="7056" w:type="dxa"/>
          </w:tcPr>
          <w:p w14:paraId="478EC267" w14:textId="77777777" w:rsidR="00F467E4" w:rsidRDefault="00000000">
            <w:r>
              <w:rPr>
                <w:rFonts w:eastAsia="Arial"/>
              </w:rPr>
              <w:t>Passed with citation</w:t>
            </w:r>
          </w:p>
        </w:tc>
      </w:tr>
      <w:tr w:rsidR="00F467E4" w14:paraId="4613CFCC" w14:textId="77777777">
        <w:trPr>
          <w:jc w:val="center"/>
        </w:trPr>
        <w:tc>
          <w:tcPr>
            <w:tcW w:w="3024" w:type="dxa"/>
          </w:tcPr>
          <w:p w14:paraId="78D71468" w14:textId="77777777" w:rsidR="00F467E4" w:rsidRDefault="00000000">
            <w:r>
              <w:rPr>
                <w:rFonts w:eastAsia="Arial"/>
              </w:rPr>
              <w:t>Arabic definition query</w:t>
            </w:r>
          </w:p>
        </w:tc>
        <w:tc>
          <w:tcPr>
            <w:tcW w:w="7056" w:type="dxa"/>
          </w:tcPr>
          <w:p w14:paraId="6E36C440" w14:textId="77777777" w:rsidR="00F467E4" w:rsidRDefault="00000000">
            <w:r>
              <w:rPr>
                <w:rFonts w:eastAsia="Arial"/>
              </w:rPr>
              <w:t>Passed with citation</w:t>
            </w:r>
          </w:p>
        </w:tc>
      </w:tr>
      <w:tr w:rsidR="00F467E4" w14:paraId="79AF6A84" w14:textId="77777777">
        <w:trPr>
          <w:jc w:val="center"/>
        </w:trPr>
        <w:tc>
          <w:tcPr>
            <w:tcW w:w="3024" w:type="dxa"/>
          </w:tcPr>
          <w:p w14:paraId="0117AB64" w14:textId="77777777" w:rsidR="00F467E4" w:rsidRDefault="00000000">
            <w:r>
              <w:rPr>
                <w:rFonts w:eastAsia="Arial"/>
              </w:rPr>
              <w:t>Arabic unclear purchase query</w:t>
            </w:r>
          </w:p>
        </w:tc>
        <w:tc>
          <w:tcPr>
            <w:tcW w:w="7056" w:type="dxa"/>
          </w:tcPr>
          <w:p w14:paraId="0416CC7C" w14:textId="77777777" w:rsidR="00F467E4" w:rsidRDefault="00000000">
            <w:r>
              <w:rPr>
                <w:rFonts w:eastAsia="Arial"/>
              </w:rPr>
              <w:t>Passed with one follow-up</w:t>
            </w:r>
          </w:p>
        </w:tc>
      </w:tr>
    </w:tbl>
    <w:p w14:paraId="59963B80" w14:textId="77777777" w:rsidR="00F467E4" w:rsidRDefault="00000000">
      <w:pPr>
        <w:pStyle w:val="Heading1"/>
      </w:pPr>
      <w:r>
        <w:rPr>
          <w:rFonts w:ascii="Arial" w:eastAsia="Arial" w:hAnsi="Arial" w:cs="Arial"/>
        </w:rPr>
        <w:t>What A Client Should Expect</w:t>
      </w:r>
    </w:p>
    <w:p w14:paraId="73758D84" w14:textId="77777777" w:rsidR="00F467E4" w:rsidRDefault="00000000">
      <w:pPr>
        <w:spacing w:after="120"/>
      </w:pPr>
      <w:r>
        <w:rPr>
          <w:rFonts w:eastAsia="Arial"/>
        </w:rPr>
        <w:t>Mushir is useful for:</w:t>
      </w:r>
    </w:p>
    <w:p w14:paraId="7FC2EFFE" w14:textId="77777777" w:rsidR="00F467E4" w:rsidRDefault="00000000">
      <w:pPr>
        <w:pStyle w:val="ListBullet"/>
      </w:pPr>
      <w:r>
        <w:rPr>
          <w:rFonts w:eastAsia="Arial"/>
        </w:rPr>
        <w:t>early Islamic finance compliance research;</w:t>
      </w:r>
    </w:p>
    <w:p w14:paraId="747DEAF7" w14:textId="77777777" w:rsidR="00F467E4" w:rsidRDefault="00000000">
      <w:pPr>
        <w:pStyle w:val="ListBullet"/>
      </w:pPr>
      <w:r>
        <w:rPr>
          <w:rFonts w:eastAsia="Arial"/>
        </w:rPr>
        <w:t>finding relevant AAOIFI excerpts quickly;</w:t>
      </w:r>
    </w:p>
    <w:p w14:paraId="1DAC0423" w14:textId="77777777" w:rsidR="00F467E4" w:rsidRDefault="00000000">
      <w:pPr>
        <w:pStyle w:val="ListBullet"/>
      </w:pPr>
      <w:r>
        <w:rPr>
          <w:rFonts w:eastAsia="Arial"/>
        </w:rPr>
        <w:t>preparing better questions for a scholar or compliance team;</w:t>
      </w:r>
    </w:p>
    <w:p w14:paraId="6B2776AC" w14:textId="77777777" w:rsidR="00F467E4" w:rsidRDefault="00000000">
      <w:pPr>
        <w:pStyle w:val="ListBullet"/>
      </w:pPr>
      <w:r>
        <w:rPr>
          <w:rFonts w:eastAsia="Arial"/>
        </w:rPr>
        <w:t>explaining why more facts are needed;</w:t>
      </w:r>
    </w:p>
    <w:p w14:paraId="64009B05" w14:textId="77777777" w:rsidR="00F467E4" w:rsidRDefault="00000000">
      <w:pPr>
        <w:pStyle w:val="ListBullet"/>
      </w:pPr>
      <w:r>
        <w:rPr>
          <w:rFonts w:eastAsia="Arial"/>
        </w:rPr>
        <w:t>providing English and Arabic informational guidance with citations.</w:t>
      </w:r>
    </w:p>
    <w:p w14:paraId="0647F672" w14:textId="77777777" w:rsidR="00F467E4" w:rsidRDefault="00000000">
      <w:pPr>
        <w:spacing w:after="120"/>
      </w:pPr>
      <w:r>
        <w:rPr>
          <w:rFonts w:eastAsia="Arial"/>
        </w:rPr>
        <w:t>Mushir is not suitable as the final authority for:</w:t>
      </w:r>
    </w:p>
    <w:p w14:paraId="11C62EE9" w14:textId="77777777" w:rsidR="00F467E4" w:rsidRDefault="00000000">
      <w:pPr>
        <w:pStyle w:val="ListBullet"/>
      </w:pPr>
      <w:r>
        <w:rPr>
          <w:rFonts w:eastAsia="Arial"/>
        </w:rPr>
        <w:t>binding Sharia rulings;</w:t>
      </w:r>
    </w:p>
    <w:p w14:paraId="7B025CA9" w14:textId="77777777" w:rsidR="00F467E4" w:rsidRDefault="00000000">
      <w:pPr>
        <w:pStyle w:val="ListBullet"/>
      </w:pPr>
      <w:r>
        <w:rPr>
          <w:rFonts w:eastAsia="Arial"/>
        </w:rPr>
        <w:t>legal decisions;</w:t>
      </w:r>
    </w:p>
    <w:p w14:paraId="24A9AC31" w14:textId="77777777" w:rsidR="00F467E4" w:rsidRDefault="00000000">
      <w:pPr>
        <w:pStyle w:val="ListBullet"/>
      </w:pPr>
      <w:r>
        <w:rPr>
          <w:rFonts w:eastAsia="Arial"/>
        </w:rPr>
        <w:t>investment recommendations;</w:t>
      </w:r>
    </w:p>
    <w:p w14:paraId="1C3FA3C0" w14:textId="77777777" w:rsidR="00F467E4" w:rsidRDefault="00000000">
      <w:pPr>
        <w:pStyle w:val="ListBullet"/>
      </w:pPr>
      <w:r>
        <w:rPr>
          <w:rFonts w:eastAsia="Arial"/>
        </w:rPr>
        <w:t>regulatory sign-off;</w:t>
      </w:r>
    </w:p>
    <w:p w14:paraId="5079CF52" w14:textId="77777777" w:rsidR="00F467E4" w:rsidRDefault="00000000">
      <w:pPr>
        <w:pStyle w:val="ListBullet"/>
      </w:pPr>
      <w:r>
        <w:rPr>
          <w:rFonts w:eastAsia="Arial"/>
        </w:rPr>
        <w:t>cases where source documents are incomplete or not ingested.</w:t>
      </w:r>
    </w:p>
    <w:p w14:paraId="6C135D12" w14:textId="77777777" w:rsidR="00F467E4" w:rsidRDefault="00000000">
      <w:pPr>
        <w:pStyle w:val="Heading1"/>
      </w:pPr>
      <w:r>
        <w:rPr>
          <w:rFonts w:ascii="Arial" w:eastAsia="Arial" w:hAnsi="Arial" w:cs="Arial"/>
        </w:rPr>
        <w:lastRenderedPageBreak/>
        <w:t>Client Acceptance Checklist</w:t>
      </w:r>
    </w:p>
    <w:p w14:paraId="3DE6650A" w14:textId="77777777" w:rsidR="00F467E4" w:rsidRDefault="00000000">
      <w:pPr>
        <w:spacing w:after="120"/>
      </w:pPr>
      <w:r>
        <w:rPr>
          <w:rFonts w:eastAsia="Arial"/>
        </w:rPr>
        <w:t>Before a client demo or handoff, verify:</w:t>
      </w:r>
    </w:p>
    <w:p w14:paraId="4ABF00E1" w14:textId="77777777" w:rsidR="00F467E4" w:rsidRDefault="00000000">
      <w:pPr>
        <w:pStyle w:val="ListBullet"/>
      </w:pPr>
      <w:r>
        <w:rPr>
          <w:rFonts w:eastAsia="Arial"/>
        </w:rPr>
        <w:t>The chat page opens.</w:t>
      </w:r>
    </w:p>
    <w:p w14:paraId="1C91A62F" w14:textId="77777777" w:rsidR="00F467E4" w:rsidRDefault="00000000">
      <w:pPr>
        <w:pStyle w:val="ListBullet"/>
      </w:pPr>
      <w:r>
        <w:rPr>
          <w:rFonts w:ascii="Consolas" w:eastAsia="Consolas" w:hAnsi="Consolas" w:cs="Consolas"/>
          <w:sz w:val="19"/>
        </w:rPr>
        <w:t>/health</w:t>
      </w:r>
      <w:r>
        <w:rPr>
          <w:rFonts w:eastAsia="Arial"/>
        </w:rPr>
        <w:t xml:space="preserve"> returns healthy.</w:t>
      </w:r>
    </w:p>
    <w:p w14:paraId="1AA128E0" w14:textId="77777777" w:rsidR="00F467E4" w:rsidRDefault="00000000">
      <w:pPr>
        <w:pStyle w:val="ListBullet"/>
      </w:pPr>
      <w:r>
        <w:rPr>
          <w:rFonts w:ascii="Consolas" w:eastAsia="Consolas" w:hAnsi="Consolas" w:cs="Consolas"/>
          <w:sz w:val="19"/>
        </w:rPr>
        <w:t>/ready</w:t>
      </w:r>
      <w:r>
        <w:rPr>
          <w:rFonts w:eastAsia="Arial"/>
        </w:rPr>
        <w:t xml:space="preserve"> reports the retriever is ready.</w:t>
      </w:r>
    </w:p>
    <w:p w14:paraId="33A9DE03" w14:textId="77777777" w:rsidR="00F467E4" w:rsidRDefault="00000000">
      <w:pPr>
        <w:pStyle w:val="ListBullet"/>
      </w:pPr>
      <w:r>
        <w:rPr>
          <w:rFonts w:eastAsia="Arial"/>
        </w:rPr>
        <w:t>English definition query returns a citation.</w:t>
      </w:r>
    </w:p>
    <w:p w14:paraId="16B6DB41" w14:textId="77777777" w:rsidR="00F467E4" w:rsidRDefault="00000000">
      <w:pPr>
        <w:pStyle w:val="ListBullet"/>
      </w:pPr>
      <w:r>
        <w:rPr>
          <w:rFonts w:eastAsia="Arial"/>
        </w:rPr>
        <w:t>Arabic definition query returns a citation.</w:t>
      </w:r>
    </w:p>
    <w:p w14:paraId="00060F01" w14:textId="77777777" w:rsidR="00F467E4" w:rsidRDefault="00000000">
      <w:pPr>
        <w:pStyle w:val="ListBullet"/>
      </w:pPr>
      <w:r>
        <w:rPr>
          <w:rFonts w:eastAsia="Arial"/>
        </w:rPr>
        <w:t>Unclear Arabic transaction query asks one follow-up question.</w:t>
      </w:r>
    </w:p>
    <w:p w14:paraId="037A4A4C" w14:textId="77777777" w:rsidR="00F467E4" w:rsidRDefault="00000000">
      <w:pPr>
        <w:pStyle w:val="ListBullet"/>
      </w:pPr>
      <w:r>
        <w:rPr>
          <w:rFonts w:eastAsia="Arial"/>
        </w:rPr>
        <w:t>Binding fatwa request is refused safely.</w:t>
      </w:r>
    </w:p>
    <w:p w14:paraId="0580EA2E" w14:textId="77777777" w:rsidR="00F467E4" w:rsidRDefault="00000000">
      <w:pPr>
        <w:pStyle w:val="ListBullet"/>
      </w:pPr>
      <w:r>
        <w:rPr>
          <w:rFonts w:eastAsia="Arial"/>
        </w:rPr>
        <w:t>No API keys or credentials appear in screenshots, logs, docs, or responses.</w:t>
      </w:r>
    </w:p>
    <w:p w14:paraId="3DA49A0E" w14:textId="77777777" w:rsidR="00F467E4" w:rsidRDefault="00000000">
      <w:pPr>
        <w:pStyle w:val="Heading1"/>
      </w:pPr>
      <w:r>
        <w:rPr>
          <w:rFonts w:ascii="Arial" w:eastAsia="Arial" w:hAnsi="Arial" w:cs="Arial"/>
        </w:rPr>
        <w:t>Plain-Language Bottom Line</w:t>
      </w:r>
    </w:p>
    <w:p w14:paraId="6EB6ED55" w14:textId="77777777" w:rsidR="00F467E4" w:rsidRDefault="00000000">
      <w:pPr>
        <w:spacing w:after="120"/>
      </w:pPr>
      <w:r>
        <w:rPr>
          <w:rFonts w:eastAsia="Arial"/>
        </w:rPr>
        <w:t>Mushir is built to be careful. If it has AAOIFI evidence, it shows the answer with citations. If the user question is unclear, it asks one focused question. If the evidence is not strong enough, it says so instead of guessing.</w:t>
      </w:r>
    </w:p>
    <w:p w14:paraId="7ABBD33B" w14:textId="77777777" w:rsidR="00F467E4" w:rsidRDefault="00000000">
      <w:pPr>
        <w:spacing w:after="120"/>
      </w:pPr>
      <w:r>
        <w:rPr>
          <w:rFonts w:eastAsia="Arial"/>
        </w:rPr>
        <w:t>That is the main trust promise of the product.</w:t>
      </w:r>
    </w:p>
    <w:sectPr w:rsidR="00F467E4" w:rsidSect="00034616">
      <w:footerReference w:type="default" r:id="rId12"/>
      <w:pgSz w:w="12240" w:h="15840"/>
      <w:pgMar w:top="936" w:right="936" w:bottom="936"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1F95" w14:textId="77777777" w:rsidR="00320ED6" w:rsidRDefault="00320ED6">
      <w:pPr>
        <w:spacing w:after="0" w:line="240" w:lineRule="auto"/>
      </w:pPr>
      <w:r>
        <w:separator/>
      </w:r>
    </w:p>
  </w:endnote>
  <w:endnote w:type="continuationSeparator" w:id="0">
    <w:p w14:paraId="0E3EE6CC" w14:textId="77777777" w:rsidR="00320ED6" w:rsidRDefault="0032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72BE" w14:textId="77777777" w:rsidR="00F467E4" w:rsidRDefault="00000000">
    <w:pPr>
      <w:pStyle w:val="Footer"/>
      <w:jc w:val="center"/>
    </w:pPr>
    <w:r>
      <w:rPr>
        <w:rFonts w:eastAsia="Arial"/>
        <w:color w:val="646464"/>
        <w:sz w:val="16"/>
      </w:rPr>
      <w:t>Mushir Client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5573" w14:textId="77777777" w:rsidR="00320ED6" w:rsidRDefault="00320ED6">
      <w:pPr>
        <w:spacing w:after="0" w:line="240" w:lineRule="auto"/>
      </w:pPr>
      <w:r>
        <w:separator/>
      </w:r>
    </w:p>
  </w:footnote>
  <w:footnote w:type="continuationSeparator" w:id="0">
    <w:p w14:paraId="6A1E5C9B" w14:textId="77777777" w:rsidR="00320ED6" w:rsidRDefault="00320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508151">
    <w:abstractNumId w:val="8"/>
  </w:num>
  <w:num w:numId="2" w16cid:durableId="770515069">
    <w:abstractNumId w:val="6"/>
  </w:num>
  <w:num w:numId="3" w16cid:durableId="1466046343">
    <w:abstractNumId w:val="5"/>
  </w:num>
  <w:num w:numId="4" w16cid:durableId="484054947">
    <w:abstractNumId w:val="4"/>
  </w:num>
  <w:num w:numId="5" w16cid:durableId="1835098655">
    <w:abstractNumId w:val="7"/>
  </w:num>
  <w:num w:numId="6" w16cid:durableId="74401457">
    <w:abstractNumId w:val="3"/>
  </w:num>
  <w:num w:numId="7" w16cid:durableId="2113934756">
    <w:abstractNumId w:val="2"/>
  </w:num>
  <w:num w:numId="8" w16cid:durableId="1367871249">
    <w:abstractNumId w:val="1"/>
  </w:num>
  <w:num w:numId="9" w16cid:durableId="68906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D01"/>
    <w:rsid w:val="0015074B"/>
    <w:rsid w:val="00232F67"/>
    <w:rsid w:val="0029639D"/>
    <w:rsid w:val="00320ED6"/>
    <w:rsid w:val="00326F90"/>
    <w:rsid w:val="00AA1D8D"/>
    <w:rsid w:val="00B47730"/>
    <w:rsid w:val="00CB0664"/>
    <w:rsid w:val="00F46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A2808"/>
  <w14:defaultImageDpi w14:val="300"/>
  <w15:docId w15:val="{1B6434A1-45E4-4CEE-9DD4-EB5A09BD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Tawfik</cp:lastModifiedBy>
  <cp:revision>2</cp:revision>
  <dcterms:created xsi:type="dcterms:W3CDTF">2026-05-17T08:26:00Z</dcterms:created>
  <dcterms:modified xsi:type="dcterms:W3CDTF">2026-05-17T08:26:00Z</dcterms:modified>
  <cp:category/>
</cp:coreProperties>
</file>