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80" w:line="264" w:lineRule="auto"/>
        <w:jc w:val="left"/>
      </w:pPr>
      <w:r>
        <w:rPr>
          <w:rFonts w:ascii="Calibri" w:hAnsi="Calibri"/>
          <w:b/>
          <w:i w:val="0"/>
          <w:color w:val="2E74B5"/>
          <w:sz w:val="20"/>
        </w:rPr>
        <w:t>SP1 COMPLETION BRIEF</w:t>
      </w:r>
    </w:p>
    <w:p>
      <w:pPr>
        <w:keepNext w:val="0"/>
        <w:spacing w:before="0" w:after="80" w:line="264" w:lineRule="auto"/>
        <w:jc w:val="left"/>
      </w:pPr>
      <w:r>
        <w:rPr>
          <w:rFonts w:ascii="Calibri" w:hAnsi="Calibri"/>
          <w:b/>
          <w:i w:val="0"/>
          <w:color w:val="0B2545"/>
          <w:sz w:val="52"/>
        </w:rPr>
        <w:t>What Sprint Package 1 Achieved</w:t>
      </w:r>
    </w:p>
    <w:p>
      <w:pPr>
        <w:keepNext w:val="0"/>
        <w:spacing w:before="0" w:after="320" w:line="264" w:lineRule="auto"/>
        <w:jc w:val="left"/>
      </w:pPr>
      <w:r>
        <w:rPr>
          <w:rFonts w:ascii="Calibri" w:hAnsi="Calibri"/>
          <w:b w:val="0"/>
          <w:i w:val="0"/>
          <w:color w:val="667085"/>
          <w:sz w:val="26"/>
        </w:rPr>
        <w:t>A plain-language summary for the Product Owner and Executive Team</w:t>
      </w:r>
    </w:p>
    <w:p>
      <w:pPr>
        <w:spacing w:before="0" w:after="40" w:line="264" w:lineRule="auto"/>
      </w:pPr>
      <w:r>
        <w:rPr>
          <w:rFonts w:ascii="Calibri" w:hAnsi="Calibri"/>
          <w:b/>
          <w:i w:val="0"/>
          <w:color w:val="24303F"/>
          <w:sz w:val="21"/>
        </w:rPr>
        <w:t xml:space="preserve">Audience: </w:t>
      </w:r>
      <w:r>
        <w:rPr>
          <w:rFonts w:ascii="Calibri" w:hAnsi="Calibri"/>
          <w:b w:val="0"/>
          <w:i w:val="0"/>
          <w:color w:val="24303F"/>
          <w:sz w:val="21"/>
        </w:rPr>
        <w:t>Product Owner, Executive Sponsors and Business Stakeholders</w:t>
      </w:r>
    </w:p>
    <w:p>
      <w:pPr>
        <w:spacing w:before="0" w:after="40" w:line="264" w:lineRule="auto"/>
      </w:pPr>
      <w:r>
        <w:rPr>
          <w:rFonts w:ascii="Calibri" w:hAnsi="Calibri"/>
          <w:b/>
          <w:i w:val="0"/>
          <w:color w:val="24303F"/>
          <w:sz w:val="21"/>
        </w:rPr>
        <w:t xml:space="preserve">Status: </w:t>
      </w:r>
      <w:r>
        <w:rPr>
          <w:rFonts w:ascii="Calibri" w:hAnsi="Calibri"/>
          <w:b w:val="0"/>
          <w:i w:val="0"/>
          <w:color w:val="24303F"/>
          <w:sz w:val="21"/>
        </w:rPr>
        <w:t>SP1-T1 and SP1-T2 completed; adversarial review addressed</w:t>
      </w:r>
    </w:p>
    <w:p>
      <w:pPr>
        <w:spacing w:before="0" w:after="40" w:line="264" w:lineRule="auto"/>
      </w:pPr>
      <w:r>
        <w:rPr>
          <w:rFonts w:ascii="Calibri" w:hAnsi="Calibri"/>
          <w:b/>
          <w:i w:val="0"/>
          <w:color w:val="24303F"/>
          <w:sz w:val="21"/>
        </w:rPr>
        <w:t xml:space="preserve">Evidence basis: </w:t>
      </w:r>
      <w:r>
        <w:rPr>
          <w:rFonts w:ascii="Calibri" w:hAnsi="Calibri"/>
          <w:b w:val="0"/>
          <w:i w:val="0"/>
          <w:color w:val="24303F"/>
          <w:sz w:val="21"/>
        </w:rPr>
        <w:t>Completed implementation specifications dated 5-6 August 2026</w:t>
      </w:r>
    </w:p>
    <w:p>
      <w:pPr>
        <w:spacing w:before="0" w:after="40" w:line="264" w:lineRule="auto"/>
      </w:pPr>
      <w:r>
        <w:rPr>
          <w:rFonts w:ascii="Calibri" w:hAnsi="Calibri"/>
          <w:b/>
          <w:i w:val="0"/>
          <w:color w:val="24303F"/>
          <w:sz w:val="21"/>
        </w:rPr>
        <w:t xml:space="preserve">Production posture: </w:t>
      </w:r>
      <w:r>
        <w:rPr>
          <w:rFonts w:ascii="Calibri" w:hAnsi="Calibri"/>
          <w:b w:val="0"/>
          <w:i w:val="0"/>
          <w:color w:val="24303F"/>
          <w:sz w:val="21"/>
        </w:rPr>
        <w:t>Synthetic-local proof only; live promotion remains disabled</w:t>
      </w:r>
    </w:p>
    <w:p>
      <w:pPr>
        <w:keepNext w:val="0"/>
        <w:spacing w:before="0" w:after="100" w:line="264" w:lineRule="auto"/>
        <w:jc w:val="left"/>
      </w:pPr>
      <w:r>
        <w:rPr>
          <w:rFonts w:ascii="Calibri" w:hAnsi="Calibri"/>
          <w:b w:val="0"/>
          <w:i w:val="0"/>
          <w:color w:val="24303F"/>
          <w:sz w:val="6"/>
        </w:rPr>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8F1F8"/>
            <w:vAlign w:val="center"/>
          </w:tcPr>
          <w:p>
            <w:pPr>
              <w:spacing w:after="0" w:line="264" w:lineRule="auto"/>
            </w:pPr>
            <w:r>
              <w:rPr>
                <w:rFonts w:ascii="Calibri" w:hAnsi="Calibri"/>
                <w:b/>
                <w:i w:val="0"/>
                <w:color w:val="2E74B5"/>
                <w:sz w:val="22"/>
              </w:rPr>
              <w:t xml:space="preserve">SP1 IN ONE SENTENCE  </w:t>
            </w:r>
            <w:r>
              <w:rPr>
                <w:rFonts w:ascii="Calibri" w:hAnsi="Calibri"/>
                <w:b w:val="0"/>
                <w:i w:val="0"/>
                <w:color w:val="24303F"/>
                <w:sz w:val="22"/>
              </w:rPr>
              <w:t>SalesFlow can now accept business information only in a defined, checkable format and can change the approved version through a controlled, traceable, reversible process.</w:t>
            </w:r>
          </w:p>
        </w:tc>
      </w:tr>
    </w:tbl>
    <w:p>
      <w:pPr>
        <w:keepNext w:val="0"/>
        <w:spacing w:before="0" w:after="40" w:line="264" w:lineRule="auto"/>
        <w:jc w:val="left"/>
      </w:pPr>
      <w:r>
        <w:rPr>
          <w:rFonts w:ascii="Calibri" w:hAnsi="Calibri"/>
          <w:b w:val="0"/>
          <w:i w:val="0"/>
          <w:color w:val="24303F"/>
          <w:sz w:val="4"/>
        </w:rPr>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shd w:fill="0B2545"/>
          </w:tcPr>
          <w:p>
            <w:pPr>
              <w:jc w:val="center"/>
            </w:pPr>
            <w:r>
              <w:rPr>
                <w:rFonts w:ascii="Calibri" w:hAnsi="Calibri"/>
                <w:b/>
                <w:i w:val="0"/>
                <w:color w:val="FFFFFF"/>
                <w:sz w:val="17"/>
              </w:rPr>
              <w:t>WORK PACKAGES</w:t>
            </w:r>
          </w:p>
        </w:tc>
        <w:tc>
          <w:tcPr>
            <w:tcW w:type="dxa" w:w="3120"/>
            <w:tcMar>
              <w:top w:w="80" w:type="dxa"/>
              <w:start w:w="120" w:type="dxa"/>
              <w:bottom w:w="80" w:type="dxa"/>
              <w:end w:w="120" w:type="dxa"/>
            </w:tcMar>
            <w:shd w:fill="0B2545"/>
          </w:tcPr>
          <w:p>
            <w:pPr>
              <w:jc w:val="center"/>
            </w:pPr>
            <w:r>
              <w:rPr>
                <w:rFonts w:ascii="Calibri" w:hAnsi="Calibri"/>
                <w:b/>
                <w:i w:val="0"/>
                <w:color w:val="FFFFFF"/>
                <w:sz w:val="17"/>
              </w:rPr>
              <w:t>BUSINESS PACKS GOVERNED</w:t>
            </w:r>
          </w:p>
        </w:tc>
        <w:tc>
          <w:tcPr>
            <w:tcW w:type="dxa" w:w="3120"/>
            <w:tcMar>
              <w:top w:w="80" w:type="dxa"/>
              <w:start w:w="120" w:type="dxa"/>
              <w:bottom w:w="80" w:type="dxa"/>
              <w:end w:w="120" w:type="dxa"/>
            </w:tcMar>
            <w:shd w:fill="0B2545"/>
          </w:tcPr>
          <w:p>
            <w:pPr>
              <w:jc w:val="center"/>
            </w:pPr>
            <w:r>
              <w:rPr>
                <w:rFonts w:ascii="Calibri" w:hAnsi="Calibri"/>
                <w:b/>
                <w:i w:val="0"/>
                <w:color w:val="FFFFFF"/>
                <w:sz w:val="17"/>
              </w:rPr>
              <w:t>ACTIVE VERSION PER PACK</w:t>
            </w:r>
          </w:p>
        </w:tc>
      </w:tr>
      <w:tr>
        <w:tc>
          <w:tcPr>
            <w:tcW w:type="dxa" w:w="3120"/>
            <w:tcMar>
              <w:top w:w="80" w:type="dxa"/>
              <w:start w:w="120" w:type="dxa"/>
              <w:bottom w:w="80" w:type="dxa"/>
              <w:end w:w="120" w:type="dxa"/>
            </w:tcMar>
            <w:shd w:fill="F2F4F7"/>
          </w:tcPr>
          <w:p>
            <w:pPr>
              <w:jc w:val="center"/>
            </w:pPr>
            <w:r>
              <w:rPr>
                <w:rFonts w:ascii="Calibri" w:hAnsi="Calibri"/>
                <w:b/>
                <w:i w:val="0"/>
                <w:color w:val="0B2545"/>
                <w:sz w:val="30"/>
              </w:rPr>
              <w:t>2 completed</w:t>
            </w:r>
          </w:p>
        </w:tc>
        <w:tc>
          <w:tcPr>
            <w:tcW w:type="dxa" w:w="3120"/>
            <w:tcMar>
              <w:top w:w="80" w:type="dxa"/>
              <w:start w:w="120" w:type="dxa"/>
              <w:bottom w:w="80" w:type="dxa"/>
              <w:end w:w="120" w:type="dxa"/>
            </w:tcMar>
            <w:shd w:fill="F2F4F7"/>
          </w:tcPr>
          <w:p>
            <w:pPr>
              <w:jc w:val="center"/>
            </w:pPr>
            <w:r>
              <w:rPr>
                <w:rFonts w:ascii="Calibri" w:hAnsi="Calibri"/>
                <w:b/>
                <w:i w:val="0"/>
                <w:color w:val="0B2545"/>
                <w:sz w:val="30"/>
              </w:rPr>
              <w:t>5 controlled</w:t>
            </w:r>
          </w:p>
        </w:tc>
        <w:tc>
          <w:tcPr>
            <w:tcW w:type="dxa" w:w="3120"/>
            <w:tcMar>
              <w:top w:w="80" w:type="dxa"/>
              <w:start w:w="120" w:type="dxa"/>
              <w:bottom w:w="80" w:type="dxa"/>
              <w:end w:w="120" w:type="dxa"/>
            </w:tcMar>
            <w:shd w:fill="F2F4F7"/>
          </w:tcPr>
          <w:p>
            <w:pPr>
              <w:jc w:val="center"/>
            </w:pPr>
            <w:r>
              <w:rPr>
                <w:rFonts w:ascii="Calibri" w:hAnsi="Calibri"/>
                <w:b/>
                <w:i w:val="0"/>
                <w:color w:val="0B2545"/>
                <w:sz w:val="30"/>
              </w:rPr>
              <w:t>1 at a time</w:t>
            </w:r>
          </w:p>
        </w:tc>
      </w:tr>
    </w:tbl>
    <w:p>
      <w:pPr>
        <w:pStyle w:val="Heading1"/>
      </w:pPr>
      <w:r>
        <w:t>Executive summary</w:t>
      </w:r>
    </w:p>
    <w:p>
      <w:pPr>
        <w:keepNext w:val="0"/>
        <w:spacing w:before="0" w:after="120" w:line="264" w:lineRule="auto"/>
        <w:jc w:val="left"/>
      </w:pPr>
      <w:r>
        <w:rPr>
          <w:rFonts w:ascii="Calibri" w:hAnsi="Calibri"/>
          <w:b w:val="0"/>
          <w:i w:val="0"/>
          <w:color w:val="24303F"/>
          <w:sz w:val="22"/>
        </w:rPr>
        <w:t>Before SP1, important business information could be stored and used, but the controls were not strong enough for confident business review. Unexpected fields could slip into otherwise valid-looking documents, and saving a change also activated it immediately.</w:t>
      </w:r>
    </w:p>
    <w:p>
      <w:pPr>
        <w:keepNext w:val="0"/>
        <w:spacing w:before="0" w:after="120" w:line="264" w:lineRule="auto"/>
        <w:jc w:val="left"/>
      </w:pPr>
      <w:r>
        <w:rPr>
          <w:rFonts w:ascii="Calibri" w:hAnsi="Calibri"/>
          <w:b w:val="0"/>
          <w:i w:val="0"/>
          <w:color w:val="24303F"/>
          <w:sz w:val="22"/>
        </w:rPr>
        <w:t>SP1 closes those gaps. It separates preparation from approval, keeps every saved version unchanged, records who activated each change, allows rollback to an older version, and prevents two simultaneous approvals from both winning.</w:t>
      </w:r>
    </w:p>
    <w:p>
      <w:pPr>
        <w:keepNext w:val="0"/>
        <w:spacing w:before="0" w:after="120" w:line="264" w:lineRule="auto"/>
        <w:jc w:val="left"/>
      </w:pPr>
      <w:r>
        <w:rPr>
          <w:rFonts w:ascii="Calibri" w:hAnsi="Calibri"/>
          <w:b w:val="0"/>
          <w:i w:val="0"/>
          <w:color w:val="24303F"/>
          <w:sz w:val="22"/>
        </w:rPr>
        <w:t>The result is a safer governance foundation for the sales assistant. It reduces accidental changes and makes decisions easier to explain and reconstruct. It is not production approval and it does not replace human review of the business meaning of the content.</w:t>
      </w:r>
    </w:p>
    <w:p>
      <w:r>
        <w:br w:type="page"/>
      </w:r>
    </w:p>
    <w:p>
      <w:pPr>
        <w:pStyle w:val="Heading1"/>
      </w:pPr>
      <w:r>
        <w:t>1. What SP1 delivered</w:t>
      </w:r>
    </w:p>
    <w:p>
      <w:pPr>
        <w:pStyle w:val="Heading2"/>
      </w:pPr>
      <w:r>
        <w:t>Work package 1 — Structured business information</w:t>
      </w:r>
    </w:p>
    <w:p>
      <w:pPr>
        <w:keepNext w:val="0"/>
        <w:spacing w:before="0" w:after="120" w:line="264" w:lineRule="auto"/>
        <w:jc w:val="left"/>
      </w:pPr>
      <w:r>
        <w:rPr>
          <w:rFonts w:ascii="Calibri" w:hAnsi="Calibri"/>
          <w:b w:val="0"/>
          <w:i w:val="0"/>
          <w:color w:val="24303F"/>
          <w:sz w:val="22"/>
        </w:rPr>
        <w:t>SP1 defined five separate information packs that business stakeholders can understand and review. Each pack now has exact allowed fields, required values, valid ranges and relationship checks. Missing, mistyped, out-of-range or undocumented information is rejected before it can become active.</w:t>
      </w:r>
    </w:p>
    <w:tbl>
      <w:tblPr>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tcMar>
              <w:top w:w="80" w:type="dxa"/>
              <w:start w:w="120" w:type="dxa"/>
              <w:bottom w:w="80" w:type="dxa"/>
              <w:end w:w="120" w:type="dxa"/>
            </w:tcMar>
            <w:shd w:fill="F2F4F7"/>
          </w:tcPr>
          <w:p>
            <w:r>
              <w:rPr>
                <w:rFonts w:ascii="Calibri" w:hAnsi="Calibri"/>
                <w:b/>
                <w:i w:val="0"/>
                <w:color w:val="0B2545"/>
                <w:sz w:val="20"/>
              </w:rPr>
              <w:t>Business information pack</w:t>
            </w:r>
          </w:p>
        </w:tc>
        <w:tc>
          <w:tcPr>
            <w:tcW w:type="dxa" w:w="6660"/>
            <w:tcMar>
              <w:top w:w="80" w:type="dxa"/>
              <w:start w:w="120" w:type="dxa"/>
              <w:bottom w:w="80" w:type="dxa"/>
              <w:end w:w="120" w:type="dxa"/>
            </w:tcMar>
            <w:shd w:fill="F2F4F7"/>
          </w:tcPr>
          <w:p>
            <w:r>
              <w:rPr>
                <w:rFonts w:ascii="Calibri" w:hAnsi="Calibri"/>
                <w:b/>
                <w:i w:val="0"/>
                <w:color w:val="0B2545"/>
                <w:sz w:val="20"/>
              </w:rPr>
              <w:t>What it controls</w:t>
            </w:r>
          </w:p>
        </w:tc>
      </w:tr>
      <w:tr>
        <w:tc>
          <w:tcPr>
            <w:tcW w:type="dxa" w:w="2700"/>
            <w:vAlign w:val="center"/>
            <w:tcMar>
              <w:top w:w="80" w:type="dxa"/>
              <w:start w:w="120" w:type="dxa"/>
              <w:bottom w:w="80" w:type="dxa"/>
              <w:end w:w="120" w:type="dxa"/>
            </w:tcMar>
          </w:tcPr>
          <w:p>
            <w:r>
              <w:rPr>
                <w:rFonts w:ascii="Calibri" w:hAnsi="Calibri"/>
                <w:b/>
                <w:i w:val="0"/>
                <w:color w:val="1F4D78"/>
                <w:sz w:val="20"/>
              </w:rPr>
              <w:t>Product Knowledge</w:t>
            </w:r>
          </w:p>
        </w:tc>
        <w:tc>
          <w:tcPr>
            <w:tcW w:type="dxa" w:w="6660"/>
            <w:vAlign w:val="center"/>
            <w:tcMar>
              <w:top w:w="80" w:type="dxa"/>
              <w:start w:w="120" w:type="dxa"/>
              <w:bottom w:w="80" w:type="dxa"/>
              <w:end w:w="120" w:type="dxa"/>
            </w:tcMar>
          </w:tcPr>
          <w:p>
            <w:r>
              <w:rPr>
                <w:rFonts w:ascii="Calibri" w:hAnsi="Calibri"/>
                <w:b w:val="0"/>
                <w:i w:val="0"/>
                <w:color w:val="24303F"/>
                <w:sz w:val="20"/>
              </w:rPr>
              <w:t>Approved product facts and the source references attached to them.</w:t>
            </w:r>
          </w:p>
        </w:tc>
      </w:tr>
      <w:tr>
        <w:tc>
          <w:tcPr>
            <w:tcW w:type="dxa" w:w="2700"/>
            <w:vAlign w:val="center"/>
            <w:tcMar>
              <w:top w:w="80" w:type="dxa"/>
              <w:start w:w="120" w:type="dxa"/>
              <w:bottom w:w="80" w:type="dxa"/>
              <w:end w:w="120" w:type="dxa"/>
            </w:tcMar>
          </w:tcPr>
          <w:p>
            <w:r>
              <w:rPr>
                <w:rFonts w:ascii="Calibri" w:hAnsi="Calibri"/>
                <w:b/>
                <w:i w:val="0"/>
                <w:color w:val="1F4D78"/>
                <w:sz w:val="20"/>
              </w:rPr>
              <w:t>Sales Policy</w:t>
            </w:r>
          </w:p>
        </w:tc>
        <w:tc>
          <w:tcPr>
            <w:tcW w:type="dxa" w:w="6660"/>
            <w:vAlign w:val="center"/>
            <w:tcMar>
              <w:top w:w="80" w:type="dxa"/>
              <w:start w:w="120" w:type="dxa"/>
              <w:bottom w:w="80" w:type="dxa"/>
              <w:end w:w="120" w:type="dxa"/>
            </w:tcMar>
          </w:tcPr>
          <w:p>
            <w:r>
              <w:rPr>
                <w:rFonts w:ascii="Calibri" w:hAnsi="Calibri"/>
                <w:b w:val="0"/>
                <w:i w:val="0"/>
                <w:color w:val="24303F"/>
                <w:sz w:val="20"/>
              </w:rPr>
              <w:t>Commercial boundaries such as quiet hours and policy limits.</w:t>
            </w:r>
          </w:p>
        </w:tc>
      </w:tr>
      <w:tr>
        <w:tc>
          <w:tcPr>
            <w:tcW w:type="dxa" w:w="2700"/>
            <w:vAlign w:val="center"/>
            <w:tcMar>
              <w:top w:w="80" w:type="dxa"/>
              <w:start w:w="120" w:type="dxa"/>
              <w:bottom w:w="80" w:type="dxa"/>
              <w:end w:w="120" w:type="dxa"/>
            </w:tcMar>
          </w:tcPr>
          <w:p>
            <w:r>
              <w:rPr>
                <w:rFonts w:ascii="Calibri" w:hAnsi="Calibri"/>
                <w:b/>
                <w:i w:val="0"/>
                <w:color w:val="1F4D78"/>
                <w:sz w:val="20"/>
              </w:rPr>
              <w:t>Qualification</w:t>
            </w:r>
          </w:p>
        </w:tc>
        <w:tc>
          <w:tcPr>
            <w:tcW w:type="dxa" w:w="6660"/>
            <w:vAlign w:val="center"/>
            <w:tcMar>
              <w:top w:w="80" w:type="dxa"/>
              <w:start w:w="120" w:type="dxa"/>
              <w:bottom w:w="80" w:type="dxa"/>
              <w:end w:w="120" w:type="dxa"/>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120" w:type="dxa"/>
              <w:bottom w:w="80" w:type="dxa"/>
              <w:end w:w="120" w:type="dxa"/>
            </w:tcMar>
          </w:tcPr>
          <w:p>
            <w:r>
              <w:rPr>
                <w:rFonts w:ascii="Calibri" w:hAnsi="Calibri"/>
                <w:b/>
                <w:i w:val="0"/>
                <w:color w:val="1F4D78"/>
                <w:sz w:val="20"/>
              </w:rPr>
              <w:t>Consent &amp; Template References</w:t>
            </w:r>
          </w:p>
        </w:tc>
        <w:tc>
          <w:tcPr>
            <w:tcW w:type="dxa" w:w="6660"/>
            <w:vAlign w:val="center"/>
            <w:tcMar>
              <w:top w:w="80" w:type="dxa"/>
              <w:start w:w="120" w:type="dxa"/>
              <w:bottom w:w="80" w:type="dxa"/>
              <w:end w:w="120" w:type="dxa"/>
            </w:tcMar>
          </w:tcPr>
          <w:p>
            <w:r>
              <w:rPr>
                <w:rFonts w:ascii="Calibri" w:hAnsi="Calibri"/>
                <w:b w:val="0"/>
                <w:i w:val="0"/>
                <w:color w:val="24303F"/>
                <w:sz w:val="20"/>
              </w:rPr>
              <w:t>Consent rules, opt-out and human-request signals, and provider-owned template references.</w:t>
            </w:r>
          </w:p>
        </w:tc>
      </w:tr>
      <w:tr>
        <w:tc>
          <w:tcPr>
            <w:tcW w:type="dxa" w:w="2700"/>
            <w:vAlign w:val="center"/>
            <w:tcMar>
              <w:top w:w="80" w:type="dxa"/>
              <w:start w:w="120" w:type="dxa"/>
              <w:bottom w:w="80" w:type="dxa"/>
              <w:end w:w="120" w:type="dxa"/>
            </w:tcMar>
          </w:tcPr>
          <w:p>
            <w:r>
              <w:rPr>
                <w:rFonts w:ascii="Calibri" w:hAnsi="Calibri"/>
                <w:b/>
                <w:i w:val="0"/>
                <w:color w:val="1F4D78"/>
                <w:sz w:val="20"/>
              </w:rPr>
              <w:t>Handoff Dispatch Settings</w:t>
            </w:r>
          </w:p>
        </w:tc>
        <w:tc>
          <w:tcPr>
            <w:tcW w:type="dxa" w:w="6660"/>
            <w:vAlign w:val="center"/>
            <w:tcMar>
              <w:top w:w="80" w:type="dxa"/>
              <w:start w:w="120" w:type="dxa"/>
              <w:bottom w:w="80" w:type="dxa"/>
              <w:end w:w="120" w:type="dxa"/>
            </w:tcMar>
          </w:tcPr>
          <w:p>
            <w:r>
              <w:rPr>
                <w:rFonts w:ascii="Calibri" w:hAnsi="Calibri"/>
                <w:b w:val="0"/>
                <w:i w:val="0"/>
                <w:color w:val="24303F"/>
                <w:sz w:val="20"/>
              </w:rPr>
              <w:t>Where a Handoff request is sent and how it is dispatched.</w:t>
            </w:r>
          </w:p>
        </w:tc>
      </w:tr>
    </w:tbl>
    <w:p>
      <w:pPr>
        <w:pStyle w:val="Heading2"/>
      </w:pPr>
      <w:r>
        <w:t>Work package 2 — Controlled publication and rollback</w:t>
      </w:r>
    </w:p>
    <w:p>
      <w:pPr>
        <w:keepNext w:val="0"/>
        <w:spacing w:before="0" w:after="120" w:line="264" w:lineRule="auto"/>
        <w:jc w:val="left"/>
      </w:pPr>
      <w:r>
        <w:rPr>
          <w:rFonts w:ascii="Calibri" w:hAnsi="Calibri"/>
          <w:b w:val="0"/>
          <w:i w:val="0"/>
          <w:color w:val="24303F"/>
          <w:sz w:val="22"/>
        </w:rPr>
        <w:t>SP1 replaced the former “save and activate immediately” behavior with a controlled lifecycle. A valid version is first saved as inactive. An authorized operator can then activate it as a separate approval action. Every actual activation records the previous version, the selected version, the approving actor and the database time.</w:t>
      </w:r>
    </w:p>
    <w:p>
      <w:pPr>
        <w:keepNext/>
        <w:spacing w:before="80" w:after="80" w:line="264" w:lineRule="auto"/>
        <w:jc w:val="left"/>
      </w:pPr>
      <w:r>
        <w:rPr>
          <w:rFonts w:ascii="Calibri" w:hAnsi="Calibri"/>
          <w:b/>
          <w:i w:val="0"/>
          <w:color w:val="667085"/>
          <w:sz w:val="20"/>
        </w:rPr>
        <w:t>How an approved change moves through SalesFlow</w:t>
      </w:r>
    </w:p>
    <w:p>
      <w:pPr>
        <w:spacing w:after="100"/>
        <w:jc w:val="center"/>
      </w:pPr>
      <w:r>
        <w:drawing>
          <wp:inline xmlns:a="http://schemas.openxmlformats.org/drawingml/2006/main" xmlns:pic="http://schemas.openxmlformats.org/drawingml/2006/picture">
            <wp:extent cx="5806440" cy="2548382"/>
            <wp:docPr id="1" name="Picture 1" descr="SP1 flow: prepare five business information packs, validate them, save an inactive immutable version, authorize activation, use only the active version, and retain audit and rollback controls. Invalid information is rejected without changing the active version."/>
            <wp:cNvGraphicFramePr>
              <a:graphicFrameLocks noChangeAspect="1"/>
            </wp:cNvGraphicFramePr>
            <a:graphic>
              <a:graphicData uri="http://schemas.openxmlformats.org/drawingml/2006/picture">
                <pic:pic>
                  <pic:nvPicPr>
                    <pic:cNvPr id="0" name="sp1-achievement-flow.png"/>
                    <pic:cNvPicPr/>
                  </pic:nvPicPr>
                  <pic:blipFill>
                    <a:blip r:embed="rId11"/>
                    <a:stretch>
                      <a:fillRect/>
                    </a:stretch>
                  </pic:blipFill>
                  <pic:spPr>
                    <a:xfrm>
                      <a:off x="0" y="0"/>
                      <a:ext cx="5806440" cy="2548382"/>
                    </a:xfrm>
                    <a:prstGeom prst="rect"/>
                  </pic:spPr>
                </pic:pic>
              </a:graphicData>
            </a:graphic>
          </wp:inline>
        </w:drawing>
      </w:r>
    </w:p>
    <w:p>
      <w:pPr>
        <w:keepNext w:val="0"/>
        <w:spacing w:before="0" w:after="160" w:line="264" w:lineRule="auto"/>
        <w:jc w:val="center"/>
      </w:pPr>
      <w:r>
        <w:rPr>
          <w:rFonts w:ascii="Calibri" w:hAnsi="Calibri"/>
          <w:b w:val="0"/>
          <w:i/>
          <w:color w:val="667085"/>
          <w:sz w:val="19"/>
        </w:rPr>
        <w:t>Invalid information stops at validation; it does not change the active business rules.</w:t>
      </w:r>
    </w:p>
    <w:p>
      <w:pPr>
        <w:pStyle w:val="Heading2"/>
      </w:pPr>
      <w:r>
        <w:t>Before and after SP1</w:t>
      </w:r>
    </w:p>
    <w:tbl>
      <w:tblPr>
        <w:tblW w:type="dxa" w:w="9360"/>
        <w:tblLayout w:type="fixed"/>
        <w:tblLook w:firstColumn="1" w:firstRow="1" w:lastColumn="0" w:lastRow="0" w:noHBand="0" w:noVBand="1" w:val="04A0"/>
        <w:jc w:val="left"/>
        <w:tblInd w:w="120" w:type="dxa"/>
      </w:tblPr>
      <w:tblGrid>
        <w:gridCol w:w="4680"/>
        <w:gridCol w:w="4680"/>
      </w:tblGrid>
      <w:tr>
        <w:trPr>
          <w:tblHeader w:val="true"/>
        </w:trPr>
        <w:tc>
          <w:tcPr>
            <w:tcW w:type="dxa" w:w="4680"/>
            <w:tcMar>
              <w:top w:w="80" w:type="dxa"/>
              <w:start w:w="120" w:type="dxa"/>
              <w:bottom w:w="80" w:type="dxa"/>
              <w:end w:w="120" w:type="dxa"/>
            </w:tcMar>
            <w:shd w:fill="F2F4F7"/>
          </w:tcPr>
          <w:p>
            <w:r>
              <w:rPr>
                <w:rFonts w:ascii="Calibri" w:hAnsi="Calibri"/>
                <w:b/>
                <w:i w:val="0"/>
                <w:color w:val="0B2545"/>
                <w:sz w:val="21"/>
              </w:rPr>
              <w:t>Before SP1</w:t>
            </w:r>
          </w:p>
        </w:tc>
        <w:tc>
          <w:tcPr>
            <w:tcW w:type="dxa" w:w="4680"/>
            <w:tcMar>
              <w:top w:w="80" w:type="dxa"/>
              <w:start w:w="120" w:type="dxa"/>
              <w:bottom w:w="80" w:type="dxa"/>
              <w:end w:w="120" w:type="dxa"/>
            </w:tcMar>
            <w:shd w:fill="E8F4EC"/>
          </w:tcPr>
          <w:p>
            <w:r>
              <w:rPr>
                <w:rFonts w:ascii="Calibri" w:hAnsi="Calibri"/>
                <w:b/>
                <w:i w:val="0"/>
                <w:color w:val="276749"/>
                <w:sz w:val="21"/>
              </w:rPr>
              <w:t>After SP1</w:t>
            </w:r>
          </w:p>
        </w:tc>
      </w:tr>
      <w:tr>
        <w:tc>
          <w:tcPr>
            <w:tcW w:type="dxa" w:w="4680"/>
            <w:tcMar>
              <w:top w:w="80" w:type="dxa"/>
              <w:start w:w="120" w:type="dxa"/>
              <w:bottom w:w="80" w:type="dxa"/>
              <w:end w:w="120" w:type="dxa"/>
            </w:tcMar>
          </w:tcPr>
          <w:p>
            <w:r>
              <w:rPr>
                <w:rFonts w:ascii="Calibri" w:hAnsi="Calibri"/>
                <w:b w:val="0"/>
                <w:i w:val="0"/>
                <w:color w:val="24303F"/>
                <w:sz w:val="19"/>
              </w:rPr>
              <w:t>Unexpected fields could pass inside valid-looking documents.</w:t>
            </w:r>
          </w:p>
        </w:tc>
        <w:tc>
          <w:tcPr>
            <w:tcW w:type="dxa" w:w="4680"/>
            <w:tcMar>
              <w:top w:w="80" w:type="dxa"/>
              <w:start w:w="120" w:type="dxa"/>
              <w:bottom w:w="80" w:type="dxa"/>
              <w:end w:w="120" w:type="dxa"/>
            </w:tcMar>
          </w:tcPr>
          <w:p>
            <w:r>
              <w:rPr>
                <w:rFonts w:ascii="Calibri" w:hAnsi="Calibri"/>
                <w:b w:val="0"/>
                <w:i w:val="0"/>
                <w:color w:val="24303F"/>
                <w:sz w:val="19"/>
              </w:rPr>
              <w:t>Only documented fields and structures are accepted.</w:t>
            </w:r>
          </w:p>
        </w:tc>
      </w:tr>
      <w:tr>
        <w:tc>
          <w:tcPr>
            <w:tcW w:type="dxa" w:w="4680"/>
            <w:tcMar>
              <w:top w:w="80" w:type="dxa"/>
              <w:start w:w="120" w:type="dxa"/>
              <w:bottom w:w="80" w:type="dxa"/>
              <w:end w:w="120" w:type="dxa"/>
            </w:tcMar>
          </w:tcPr>
          <w:p>
            <w:r>
              <w:rPr>
                <w:rFonts w:ascii="Calibri" w:hAnsi="Calibri"/>
                <w:b w:val="0"/>
                <w:i w:val="0"/>
                <w:color w:val="24303F"/>
                <w:sz w:val="19"/>
              </w:rPr>
              <w:t>Saving and activating happened together.</w:t>
            </w:r>
          </w:p>
        </w:tc>
        <w:tc>
          <w:tcPr>
            <w:tcW w:type="dxa" w:w="4680"/>
            <w:tcMar>
              <w:top w:w="80" w:type="dxa"/>
              <w:start w:w="120" w:type="dxa"/>
              <w:bottom w:w="80" w:type="dxa"/>
              <w:end w:w="120" w:type="dxa"/>
            </w:tcMar>
          </w:tcPr>
          <w:p>
            <w:r>
              <w:rPr>
                <w:rFonts w:ascii="Calibri" w:hAnsi="Calibri"/>
                <w:b w:val="0"/>
                <w:i w:val="0"/>
                <w:color w:val="24303F"/>
                <w:sz w:val="19"/>
              </w:rPr>
              <w:t>Saving and approval are separate actions.</w:t>
            </w:r>
          </w:p>
        </w:tc>
      </w:tr>
      <w:tr>
        <w:tc>
          <w:tcPr>
            <w:tcW w:type="dxa" w:w="4680"/>
            <w:tcMar>
              <w:top w:w="80" w:type="dxa"/>
              <w:start w:w="120" w:type="dxa"/>
              <w:bottom w:w="80" w:type="dxa"/>
              <w:end w:w="120" w:type="dxa"/>
            </w:tcMar>
          </w:tcPr>
          <w:p>
            <w:r>
              <w:rPr>
                <w:rFonts w:ascii="Calibri" w:hAnsi="Calibri"/>
                <w:b w:val="0"/>
                <w:i w:val="0"/>
                <w:color w:val="24303F"/>
                <w:sz w:val="19"/>
              </w:rPr>
              <w:t>Review before activation was limited.</w:t>
            </w:r>
          </w:p>
        </w:tc>
        <w:tc>
          <w:tcPr>
            <w:tcW w:type="dxa" w:w="4680"/>
            <w:tcMar>
              <w:top w:w="80" w:type="dxa"/>
              <w:start w:w="120" w:type="dxa"/>
              <w:bottom w:w="80" w:type="dxa"/>
              <w:end w:w="120" w:type="dxa"/>
            </w:tcMar>
          </w:tcPr>
          <w:p>
            <w:r>
              <w:rPr>
                <w:rFonts w:ascii="Calibri" w:hAnsi="Calibri"/>
                <w:b w:val="0"/>
                <w:i w:val="0"/>
                <w:color w:val="24303F"/>
                <w:sz w:val="19"/>
              </w:rPr>
              <w:t>Inactive versions can be reviewed before approval.</w:t>
            </w:r>
          </w:p>
        </w:tc>
      </w:tr>
      <w:tr>
        <w:tc>
          <w:tcPr>
            <w:tcW w:type="dxa" w:w="4680"/>
            <w:tcMar>
              <w:top w:w="80" w:type="dxa"/>
              <w:start w:w="120" w:type="dxa"/>
              <w:bottom w:w="80" w:type="dxa"/>
              <w:end w:w="120" w:type="dxa"/>
            </w:tcMar>
          </w:tcPr>
          <w:p>
            <w:r>
              <w:rPr>
                <w:rFonts w:ascii="Calibri" w:hAnsi="Calibri"/>
                <w:b w:val="0"/>
                <w:i w:val="0"/>
                <w:color w:val="24303F"/>
                <w:sz w:val="19"/>
              </w:rPr>
              <w:t>Rollback was not an explicit controlled action.</w:t>
            </w:r>
          </w:p>
        </w:tc>
        <w:tc>
          <w:tcPr>
            <w:tcW w:type="dxa" w:w="4680"/>
            <w:tcMar>
              <w:top w:w="80" w:type="dxa"/>
              <w:start w:w="120" w:type="dxa"/>
              <w:bottom w:w="80" w:type="dxa"/>
              <w:end w:w="120" w:type="dxa"/>
            </w:tcMar>
          </w:tcPr>
          <w:p>
            <w:r>
              <w:rPr>
                <w:rFonts w:ascii="Calibri" w:hAnsi="Calibri"/>
                <w:b w:val="0"/>
                <w:i w:val="0"/>
                <w:color w:val="24303F"/>
                <w:sz w:val="19"/>
              </w:rPr>
              <w:t>Any older saved version can be reactivated safely.</w:t>
            </w:r>
          </w:p>
        </w:tc>
      </w:tr>
      <w:tr>
        <w:tc>
          <w:tcPr>
            <w:tcW w:type="dxa" w:w="4680"/>
            <w:tcMar>
              <w:top w:w="80" w:type="dxa"/>
              <w:start w:w="120" w:type="dxa"/>
              <w:bottom w:w="80" w:type="dxa"/>
              <w:end w:w="120" w:type="dxa"/>
            </w:tcMar>
          </w:tcPr>
          <w:p>
            <w:r>
              <w:rPr>
                <w:rFonts w:ascii="Calibri" w:hAnsi="Calibri"/>
                <w:b w:val="0"/>
                <w:i w:val="0"/>
                <w:color w:val="24303F"/>
                <w:sz w:val="19"/>
              </w:rPr>
              <w:t>Concurrent approvals could be difficult to explain.</w:t>
            </w:r>
          </w:p>
        </w:tc>
        <w:tc>
          <w:tcPr>
            <w:tcW w:type="dxa" w:w="4680"/>
            <w:tcMar>
              <w:top w:w="80" w:type="dxa"/>
              <w:start w:w="120" w:type="dxa"/>
              <w:bottom w:w="80" w:type="dxa"/>
              <w:end w:w="120" w:type="dxa"/>
            </w:tcMar>
          </w:tcPr>
          <w:p>
            <w:r>
              <w:rPr>
                <w:rFonts w:ascii="Calibri" w:hAnsi="Calibri"/>
                <w:b w:val="0"/>
                <w:i w:val="0"/>
                <w:color w:val="24303F"/>
                <w:sz w:val="19"/>
              </w:rPr>
              <w:t>Exactly one competing activation wins; the other receives a clear stale result.</w:t>
            </w:r>
          </w:p>
        </w:tc>
      </w:tr>
    </w:tbl>
    <w:p>
      <w:r>
        <w:br w:type="page"/>
      </w:r>
    </w:p>
    <w:p>
      <w:pPr>
        <w:pStyle w:val="Heading1"/>
      </w:pPr>
      <w:r>
        <w:t>2. Business value achieved</w:t>
      </w:r>
    </w:p>
    <w:p>
      <w:pPr>
        <w:spacing w:before="0" w:after="140" w:line="264" w:lineRule="auto"/>
      </w:pPr>
      <w:r>
        <w:rPr>
          <w:rFonts w:ascii="Calibri" w:hAnsi="Calibri"/>
          <w:b/>
          <w:i w:val="0"/>
          <w:color w:val="1F4D78"/>
          <w:sz w:val="22"/>
        </w:rPr>
        <w:t xml:space="preserve">Fewer accidental rule changes. </w:t>
      </w:r>
      <w:r>
        <w:rPr>
          <w:rFonts w:ascii="Calibri" w:hAnsi="Calibri"/>
          <w:b w:val="0"/>
          <w:i w:val="0"/>
          <w:color w:val="24303F"/>
          <w:sz w:val="22"/>
        </w:rPr>
        <w:t>Invalid or undocumented information is rejected before it can affect the assistant.</w:t>
      </w:r>
    </w:p>
    <w:p>
      <w:pPr>
        <w:spacing w:before="0" w:after="140" w:line="264" w:lineRule="auto"/>
      </w:pPr>
      <w:r>
        <w:rPr>
          <w:rFonts w:ascii="Calibri" w:hAnsi="Calibri"/>
          <w:b/>
          <w:i w:val="0"/>
          <w:color w:val="1F4D78"/>
          <w:sz w:val="22"/>
        </w:rPr>
        <w:t xml:space="preserve">Clear approval responsibility. </w:t>
      </w:r>
      <w:r>
        <w:rPr>
          <w:rFonts w:ascii="Calibri" w:hAnsi="Calibri"/>
          <w:b w:val="0"/>
          <w:i w:val="0"/>
          <w:color w:val="24303F"/>
          <w:sz w:val="22"/>
        </w:rPr>
        <w:t>Activation is an explicit authorized action, separate from preparing or saving content.</w:t>
      </w:r>
    </w:p>
    <w:p>
      <w:pPr>
        <w:spacing w:before="0" w:after="140" w:line="264" w:lineRule="auto"/>
      </w:pPr>
      <w:r>
        <w:rPr>
          <w:rFonts w:ascii="Calibri" w:hAnsi="Calibri"/>
          <w:b/>
          <w:i w:val="0"/>
          <w:color w:val="1F4D78"/>
          <w:sz w:val="22"/>
        </w:rPr>
        <w:t xml:space="preserve">Explainable history. </w:t>
      </w:r>
      <w:r>
        <w:rPr>
          <w:rFonts w:ascii="Calibri" w:hAnsi="Calibri"/>
          <w:b w:val="0"/>
          <w:i w:val="0"/>
          <w:color w:val="24303F"/>
          <w:sz w:val="22"/>
        </w:rPr>
        <w:t>Every version remains available and every real activation records who approved what and when.</w:t>
      </w:r>
    </w:p>
    <w:p>
      <w:pPr>
        <w:spacing w:before="0" w:after="140" w:line="264" w:lineRule="auto"/>
      </w:pPr>
      <w:r>
        <w:rPr>
          <w:rFonts w:ascii="Calibri" w:hAnsi="Calibri"/>
          <w:b/>
          <w:i w:val="0"/>
          <w:color w:val="1F4D78"/>
          <w:sz w:val="22"/>
        </w:rPr>
        <w:t xml:space="preserve">Safer recovery. </w:t>
      </w:r>
      <w:r>
        <w:rPr>
          <w:rFonts w:ascii="Calibri" w:hAnsi="Calibri"/>
          <w:b w:val="0"/>
          <w:i w:val="0"/>
          <w:color w:val="24303F"/>
          <w:sz w:val="22"/>
        </w:rPr>
        <w:t>An older approved version can be restored without deleting or rewriting history.</w:t>
      </w:r>
    </w:p>
    <w:p>
      <w:pPr>
        <w:spacing w:before="0" w:after="140" w:line="264" w:lineRule="auto"/>
      </w:pPr>
      <w:r>
        <w:rPr>
          <w:rFonts w:ascii="Calibri" w:hAnsi="Calibri"/>
          <w:b/>
          <w:i w:val="0"/>
          <w:color w:val="1F4D78"/>
          <w:sz w:val="22"/>
        </w:rPr>
        <w:t xml:space="preserve">Predictable behavior under pressure. </w:t>
      </w:r>
      <w:r>
        <w:rPr>
          <w:rFonts w:ascii="Calibri" w:hAnsi="Calibri"/>
          <w:b w:val="0"/>
          <w:i w:val="0"/>
          <w:color w:val="24303F"/>
          <w:sz w:val="22"/>
        </w:rPr>
        <w:t>If two people attempt conflicting activations at the same time, only one succeeds.</w:t>
      </w:r>
    </w:p>
    <w:p>
      <w:pPr>
        <w:pStyle w:val="Heading1"/>
      </w:pPr>
      <w:r>
        <w:t>3. Evidence and safeguards</w:t>
      </w:r>
    </w:p>
    <w:tbl>
      <w:tblPr>
        <w:tblW w:type="dxa" w:w="9360"/>
        <w:tblLayout w:type="fixed"/>
        <w:tblLook w:firstColumn="1" w:firstRow="1" w:lastColumn="0" w:lastRow="0" w:noHBand="0" w:noVBand="1" w:val="04A0"/>
        <w:jc w:val="left"/>
        <w:tblInd w:w="120" w:type="dxa"/>
      </w:tblPr>
      <w:tblGrid>
        <w:gridCol w:w="2100"/>
        <w:gridCol w:w="3630"/>
        <w:gridCol w:w="3630"/>
      </w:tblGrid>
      <w:tr>
        <w:trPr>
          <w:tblHeader w:val="true"/>
        </w:trPr>
        <w:tc>
          <w:tcPr>
            <w:tcW w:type="dxa" w:w="2100"/>
            <w:tcMar>
              <w:top w:w="80" w:type="dxa"/>
              <w:start w:w="120" w:type="dxa"/>
              <w:bottom w:w="80" w:type="dxa"/>
              <w:end w:w="120" w:type="dxa"/>
            </w:tcMar>
            <w:shd w:fill="F2F4F7"/>
          </w:tcPr>
          <w:p>
            <w:r>
              <w:rPr>
                <w:rFonts w:ascii="Calibri" w:hAnsi="Calibri"/>
                <w:b/>
                <w:i w:val="0"/>
                <w:color w:val="0B2545"/>
                <w:sz w:val="19"/>
              </w:rPr>
              <w:t>Evidence</w:t>
            </w:r>
          </w:p>
        </w:tc>
        <w:tc>
          <w:tcPr>
            <w:tcW w:type="dxa" w:w="3630"/>
            <w:tcMar>
              <w:top w:w="80" w:type="dxa"/>
              <w:start w:w="120" w:type="dxa"/>
              <w:bottom w:w="80" w:type="dxa"/>
              <w:end w:w="120" w:type="dxa"/>
            </w:tcMar>
            <w:shd w:fill="F2F4F7"/>
          </w:tcPr>
          <w:p>
            <w:r>
              <w:rPr>
                <w:rFonts w:ascii="Calibri" w:hAnsi="Calibri"/>
                <w:b/>
                <w:i w:val="0"/>
                <w:color w:val="0B2545"/>
                <w:sz w:val="19"/>
              </w:rPr>
              <w:t>What was demonstrated</w:t>
            </w:r>
          </w:p>
        </w:tc>
        <w:tc>
          <w:tcPr>
            <w:tcW w:type="dxa" w:w="3630"/>
            <w:tcMar>
              <w:top w:w="80" w:type="dxa"/>
              <w:start w:w="120" w:type="dxa"/>
              <w:bottom w:w="80" w:type="dxa"/>
              <w:end w:w="120" w:type="dxa"/>
            </w:tcMar>
            <w:shd w:fill="F2F4F7"/>
          </w:tcPr>
          <w:p>
            <w:r>
              <w:rPr>
                <w:rFonts w:ascii="Calibri" w:hAnsi="Calibri"/>
                <w:b/>
                <w:i w:val="0"/>
                <w:color w:val="0B2545"/>
                <w:sz w:val="19"/>
              </w:rPr>
              <w:t>Why it matters</w:t>
            </w:r>
          </w:p>
        </w:tc>
      </w:tr>
      <w:tr>
        <w:tc>
          <w:tcPr>
            <w:tcW w:type="dxa" w:w="2100"/>
            <w:tcMar>
              <w:top w:w="80" w:type="dxa"/>
              <w:start w:w="120" w:type="dxa"/>
              <w:bottom w:w="80" w:type="dxa"/>
              <w:end w:w="120" w:type="dxa"/>
            </w:tcMar>
          </w:tcPr>
          <w:p>
            <w:r>
              <w:rPr>
                <w:rFonts w:ascii="Calibri" w:hAnsi="Calibri"/>
                <w:b/>
                <w:i w:val="0"/>
                <w:color w:val="1F4D78"/>
                <w:sz w:val="18"/>
              </w:rPr>
              <w:t>Contract tests</w:t>
            </w:r>
          </w:p>
        </w:tc>
        <w:tc>
          <w:tcPr>
            <w:tcW w:type="dxa" w:w="3630"/>
            <w:tcMar>
              <w:top w:w="80" w:type="dxa"/>
              <w:start w:w="120" w:type="dxa"/>
              <w:bottom w:w="80" w:type="dxa"/>
              <w:end w:w="120" w:type="dxa"/>
            </w:tcMar>
          </w:tcPr>
          <w:p>
            <w:r>
              <w:rPr>
                <w:rFonts w:ascii="Calibri" w:hAnsi="Calibri"/>
                <w:b w:val="0"/>
                <w:i w:val="0"/>
                <w:color w:val="24303F"/>
                <w:sz w:val="18"/>
              </w:rPr>
              <w:t>Valid examples accepted; missing, wrong, extra and conflicting values rejected.</w:t>
            </w:r>
          </w:p>
        </w:tc>
        <w:tc>
          <w:tcPr>
            <w:tcW w:type="dxa" w:w="3630"/>
            <w:tcMar>
              <w:top w:w="80" w:type="dxa"/>
              <w:start w:w="120" w:type="dxa"/>
              <w:bottom w:w="80" w:type="dxa"/>
              <w:end w:w="120" w:type="dxa"/>
            </w:tcMar>
          </w:tcPr>
          <w:p>
            <w:r>
              <w:rPr>
                <w:rFonts w:ascii="Calibri" w:hAnsi="Calibri"/>
                <w:b w:val="0"/>
                <w:i w:val="0"/>
                <w:color w:val="24303F"/>
                <w:sz w:val="18"/>
              </w:rPr>
              <w:t>Bad structure cannot silently become business authority.</w:t>
            </w:r>
          </w:p>
        </w:tc>
      </w:tr>
      <w:tr>
        <w:tc>
          <w:tcPr>
            <w:tcW w:type="dxa" w:w="2100"/>
            <w:tcMar>
              <w:top w:w="80" w:type="dxa"/>
              <w:start w:w="120" w:type="dxa"/>
              <w:bottom w:w="80" w:type="dxa"/>
              <w:end w:w="120" w:type="dxa"/>
            </w:tcMar>
          </w:tcPr>
          <w:p>
            <w:r>
              <w:rPr>
                <w:rFonts w:ascii="Calibri" w:hAnsi="Calibri"/>
                <w:b/>
                <w:i w:val="0"/>
                <w:color w:val="1F4D78"/>
                <w:sz w:val="18"/>
              </w:rPr>
              <w:t>Lifecycle tests</w:t>
            </w:r>
          </w:p>
        </w:tc>
        <w:tc>
          <w:tcPr>
            <w:tcW w:type="dxa" w:w="3630"/>
            <w:tcMar>
              <w:top w:w="80" w:type="dxa"/>
              <w:start w:w="120" w:type="dxa"/>
              <w:bottom w:w="80" w:type="dxa"/>
              <w:end w:w="120" w:type="dxa"/>
            </w:tcMar>
          </w:tcPr>
          <w:p>
            <w:r>
              <w:rPr>
                <w:rFonts w:ascii="Calibri" w:hAnsi="Calibri"/>
                <w:b w:val="0"/>
                <w:i w:val="0"/>
                <w:color w:val="24303F"/>
                <w:sz w:val="18"/>
              </w:rPr>
              <w:t>Save, activate, retry, rollback and immutable history all exercised.</w:t>
            </w:r>
          </w:p>
        </w:tc>
        <w:tc>
          <w:tcPr>
            <w:tcW w:type="dxa" w:w="3630"/>
            <w:tcMar>
              <w:top w:w="80" w:type="dxa"/>
              <w:start w:w="120" w:type="dxa"/>
              <w:bottom w:w="80" w:type="dxa"/>
              <w:end w:w="120" w:type="dxa"/>
            </w:tcMar>
          </w:tcPr>
          <w:p>
            <w:r>
              <w:rPr>
                <w:rFonts w:ascii="Calibri" w:hAnsi="Calibri"/>
                <w:b w:val="0"/>
                <w:i w:val="0"/>
                <w:color w:val="24303F"/>
                <w:sz w:val="18"/>
              </w:rPr>
              <w:t>The approval process behaves consistently and can be reconstructed.</w:t>
            </w:r>
          </w:p>
        </w:tc>
      </w:tr>
      <w:tr>
        <w:tc>
          <w:tcPr>
            <w:tcW w:type="dxa" w:w="2100"/>
            <w:tcMar>
              <w:top w:w="80" w:type="dxa"/>
              <w:start w:w="120" w:type="dxa"/>
              <w:bottom w:w="80" w:type="dxa"/>
              <w:end w:w="120" w:type="dxa"/>
            </w:tcMar>
          </w:tcPr>
          <w:p>
            <w:r>
              <w:rPr>
                <w:rFonts w:ascii="Calibri" w:hAnsi="Calibri"/>
                <w:b/>
                <w:i w:val="0"/>
                <w:color w:val="1F4D78"/>
                <w:sz w:val="18"/>
              </w:rPr>
              <w:t>Concurrency test</w:t>
            </w:r>
          </w:p>
        </w:tc>
        <w:tc>
          <w:tcPr>
            <w:tcW w:type="dxa" w:w="3630"/>
            <w:tcMar>
              <w:top w:w="80" w:type="dxa"/>
              <w:start w:w="120" w:type="dxa"/>
              <w:bottom w:w="80" w:type="dxa"/>
              <w:end w:w="120" w:type="dxa"/>
            </w:tcMar>
          </w:tcPr>
          <w:p>
            <w:r>
              <w:rPr>
                <w:rFonts w:ascii="Calibri" w:hAnsi="Calibri"/>
                <w:b w:val="0"/>
                <w:i w:val="0"/>
                <w:color w:val="24303F"/>
                <w:sz w:val="18"/>
              </w:rPr>
              <w:t>Two competing approvals produced one winner and one bounded denial.</w:t>
            </w:r>
          </w:p>
        </w:tc>
        <w:tc>
          <w:tcPr>
            <w:tcW w:type="dxa" w:w="3630"/>
            <w:tcMar>
              <w:top w:w="80" w:type="dxa"/>
              <w:start w:w="120" w:type="dxa"/>
              <w:bottom w:w="80" w:type="dxa"/>
              <w:end w:w="120" w:type="dxa"/>
            </w:tcMar>
          </w:tcPr>
          <w:p>
            <w:r>
              <w:rPr>
                <w:rFonts w:ascii="Calibri" w:hAnsi="Calibri"/>
                <w:b w:val="0"/>
                <w:i w:val="0"/>
                <w:color w:val="24303F"/>
                <w:sz w:val="18"/>
              </w:rPr>
              <w:t>Simultaneous decisions cannot create two active versions.</w:t>
            </w:r>
          </w:p>
        </w:tc>
      </w:tr>
      <w:tr>
        <w:tc>
          <w:tcPr>
            <w:tcW w:type="dxa" w:w="2100"/>
            <w:tcMar>
              <w:top w:w="80" w:type="dxa"/>
              <w:start w:w="120" w:type="dxa"/>
              <w:bottom w:w="80" w:type="dxa"/>
              <w:end w:w="120" w:type="dxa"/>
            </w:tcMar>
          </w:tcPr>
          <w:p>
            <w:r>
              <w:rPr>
                <w:rFonts w:ascii="Calibri" w:hAnsi="Calibri"/>
                <w:b/>
                <w:i w:val="0"/>
                <w:color w:val="1F4D78"/>
                <w:sz w:val="18"/>
              </w:rPr>
              <w:t>Adversarial review</w:t>
            </w:r>
          </w:p>
        </w:tc>
        <w:tc>
          <w:tcPr>
            <w:tcW w:type="dxa" w:w="3630"/>
            <w:tcMar>
              <w:top w:w="80" w:type="dxa"/>
              <w:start w:w="120" w:type="dxa"/>
              <w:bottom w:w="80" w:type="dxa"/>
              <w:end w:w="120" w:type="dxa"/>
            </w:tcMar>
          </w:tcPr>
          <w:p>
            <w:r>
              <w:rPr>
                <w:rFonts w:ascii="Calibri" w:hAnsi="Calibri"/>
                <w:b w:val="0"/>
                <w:i w:val="0"/>
                <w:color w:val="24303F"/>
                <w:sz w:val="18"/>
              </w:rPr>
              <w:t>Upgrade, authorization, immutability and race findings were corrected and retested.</w:t>
            </w:r>
          </w:p>
        </w:tc>
        <w:tc>
          <w:tcPr>
            <w:tcW w:type="dxa" w:w="3630"/>
            <w:tcMar>
              <w:top w:w="80" w:type="dxa"/>
              <w:start w:w="120" w:type="dxa"/>
              <w:bottom w:w="80" w:type="dxa"/>
              <w:end w:w="120" w:type="dxa"/>
            </w:tcMar>
          </w:tcPr>
          <w:p>
            <w:r>
              <w:rPr>
                <w:rFonts w:ascii="Calibri" w:hAnsi="Calibri"/>
                <w:b w:val="0"/>
                <w:i w:val="0"/>
                <w:color w:val="24303F"/>
                <w:sz w:val="18"/>
              </w:rPr>
              <w:t>The result was challenged beyond the happy path.</w:t>
            </w:r>
          </w:p>
        </w:tc>
      </w:tr>
      <w:tr>
        <w:tc>
          <w:tcPr>
            <w:tcW w:type="dxa" w:w="2100"/>
            <w:tcMar>
              <w:top w:w="80" w:type="dxa"/>
              <w:start w:w="120" w:type="dxa"/>
              <w:bottom w:w="80" w:type="dxa"/>
              <w:end w:w="120" w:type="dxa"/>
            </w:tcMar>
          </w:tcPr>
          <w:p>
            <w:r>
              <w:rPr>
                <w:rFonts w:ascii="Calibri" w:hAnsi="Calibri"/>
                <w:b/>
                <w:i w:val="0"/>
                <w:color w:val="1F4D78"/>
                <w:sz w:val="18"/>
              </w:rPr>
              <w:t>Release control</w:t>
            </w:r>
          </w:p>
        </w:tc>
        <w:tc>
          <w:tcPr>
            <w:tcW w:type="dxa" w:w="3630"/>
            <w:tcMar>
              <w:top w:w="80" w:type="dxa"/>
              <w:start w:w="120" w:type="dxa"/>
              <w:bottom w:w="80" w:type="dxa"/>
              <w:end w:w="120" w:type="dxa"/>
            </w:tcMar>
          </w:tcPr>
          <w:p>
            <w:r>
              <w:rPr>
                <w:rFonts w:ascii="Calibri" w:hAnsi="Calibri"/>
                <w:b w:val="0"/>
                <w:i w:val="0"/>
                <w:color w:val="24303F"/>
                <w:sz w:val="18"/>
              </w:rPr>
              <w:t>Reviewed hashes remained bound while live promotion stayed disabled.</w:t>
            </w:r>
          </w:p>
        </w:tc>
        <w:tc>
          <w:tcPr>
            <w:tcW w:type="dxa" w:w="3630"/>
            <w:tcMar>
              <w:top w:w="80" w:type="dxa"/>
              <w:start w:w="120" w:type="dxa"/>
              <w:bottom w:w="80" w:type="dxa"/>
              <w:end w:w="120" w:type="dxa"/>
            </w:tcMar>
          </w:tcPr>
          <w:p>
            <w:r>
              <w:rPr>
                <w:rFonts w:ascii="Calibri" w:hAnsi="Calibri"/>
                <w:b w:val="0"/>
                <w:i w:val="0"/>
                <w:color w:val="24303F"/>
                <w:sz w:val="18"/>
              </w:rPr>
              <w:t>Local success cannot be mistaken for production approval.</w:t>
            </w:r>
          </w:p>
        </w:tc>
      </w:tr>
    </w:tbl>
    <w:p>
      <w:pPr>
        <w:pStyle w:val="Heading1"/>
      </w:pPr>
      <w:r>
        <w:t>4. What SP1 does not mean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FF6DC"/>
            <w:vAlign w:val="center"/>
          </w:tcPr>
          <w:p>
            <w:pPr>
              <w:spacing w:after="0" w:line="264" w:lineRule="auto"/>
            </w:pPr>
            <w:r>
              <w:rPr>
                <w:rFonts w:ascii="Calibri" w:hAnsi="Calibri"/>
                <w:b/>
                <w:i w:val="0"/>
                <w:color w:val="8A6500"/>
                <w:sz w:val="22"/>
              </w:rPr>
              <w:t xml:space="preserve">IMPORTANT BOUNDARY  </w:t>
            </w:r>
            <w:r>
              <w:rPr>
                <w:rFonts w:ascii="Calibri" w:hAnsi="Calibri"/>
                <w:b w:val="0"/>
                <w:i w:val="0"/>
                <w:color w:val="24303F"/>
                <w:sz w:val="22"/>
              </w:rPr>
              <w:t>SP1 proves the controls in a disposable synthetic-local environment. It does not authorize production use.</w:t>
            </w:r>
          </w:p>
        </w:tc>
      </w:tr>
    </w:tbl>
    <w:p>
      <w:pPr>
        <w:keepNext w:val="0"/>
        <w:spacing w:before="0" w:after="40" w:line="264" w:lineRule="auto"/>
        <w:jc w:val="left"/>
      </w:pPr>
      <w:r>
        <w:rPr>
          <w:rFonts w:ascii="Calibri" w:hAnsi="Calibri"/>
          <w:b w:val="0"/>
          <w:i w:val="0"/>
          <w:color w:val="24303F"/>
          <w:sz w:val="4"/>
        </w:rPr>
      </w:r>
    </w:p>
    <w:p>
      <w:pPr>
        <w:spacing w:before="0" w:after="120" w:line="264" w:lineRule="auto"/>
      </w:pPr>
      <w:r>
        <w:rPr>
          <w:rFonts w:ascii="Calibri" w:hAnsi="Calibri"/>
          <w:b/>
          <w:i w:val="0"/>
          <w:color w:val="9B1C1C"/>
          <w:sz w:val="21"/>
        </w:rPr>
        <w:t xml:space="preserve">No automatic business approval. </w:t>
      </w:r>
      <w:r>
        <w:rPr>
          <w:rFonts w:ascii="Calibri" w:hAnsi="Calibri"/>
          <w:b w:val="0"/>
          <w:i w:val="0"/>
          <w:color w:val="24303F"/>
          <w:sz w:val="21"/>
        </w:rPr>
        <w:t>The system validates structure and limits; people still approve the meaning and wording.</w:t>
      </w:r>
    </w:p>
    <w:p>
      <w:pPr>
        <w:spacing w:before="0" w:after="120" w:line="264" w:lineRule="auto"/>
      </w:pPr>
      <w:r>
        <w:rPr>
          <w:rFonts w:ascii="Calibri" w:hAnsi="Calibri"/>
          <w:b/>
          <w:i w:val="0"/>
          <w:color w:val="9B1C1C"/>
          <w:sz w:val="21"/>
        </w:rPr>
        <w:t xml:space="preserve">No new administration screen. </w:t>
      </w:r>
      <w:r>
        <w:rPr>
          <w:rFonts w:ascii="Calibri" w:hAnsi="Calibri"/>
          <w:b w:val="0"/>
          <w:i w:val="0"/>
          <w:color w:val="24303F"/>
          <w:sz w:val="21"/>
        </w:rPr>
        <w:t>SP1 established the controlled database and operations boundary, not a custom business-user interface.</w:t>
      </w:r>
    </w:p>
    <w:p>
      <w:pPr>
        <w:spacing w:before="0" w:after="120" w:line="264" w:lineRule="auto"/>
      </w:pPr>
      <w:r>
        <w:rPr>
          <w:rFonts w:ascii="Calibri" w:hAnsi="Calibri"/>
          <w:b/>
          <w:i w:val="0"/>
          <w:color w:val="9B1C1C"/>
          <w:sz w:val="21"/>
        </w:rPr>
        <w:t xml:space="preserve">No two-person approval rule. </w:t>
      </w:r>
      <w:r>
        <w:rPr>
          <w:rFonts w:ascii="Calibri" w:hAnsi="Calibri"/>
          <w:b w:val="0"/>
          <w:i w:val="0"/>
          <w:color w:val="24303F"/>
          <w:sz w:val="21"/>
        </w:rPr>
        <w:t>An authorized operator can activate a version; a separate maker-checker role remains a future governance decision.</w:t>
      </w:r>
    </w:p>
    <w:p>
      <w:pPr>
        <w:spacing w:before="0" w:after="120" w:line="264" w:lineRule="auto"/>
      </w:pPr>
      <w:r>
        <w:rPr>
          <w:rFonts w:ascii="Calibri" w:hAnsi="Calibri"/>
          <w:b/>
          <w:i w:val="0"/>
          <w:color w:val="9B1C1C"/>
          <w:sz w:val="21"/>
        </w:rPr>
        <w:t xml:space="preserve">No live provider proof. </w:t>
      </w:r>
      <w:r>
        <w:rPr>
          <w:rFonts w:ascii="Calibri" w:hAnsi="Calibri"/>
          <w:b w:val="0"/>
          <w:i w:val="0"/>
          <w:color w:val="24303F"/>
          <w:sz w:val="21"/>
        </w:rPr>
        <w:t>Real Meta, production LLM, CRM/Handoff, managed database and compliance approvals remain external gates.</w:t>
      </w:r>
    </w:p>
    <w:p>
      <w:pPr>
        <w:pStyle w:val="Heading1"/>
      </w:pPr>
      <w:r>
        <w:t>5. Executive takeaway and next actions</w:t>
      </w:r>
    </w:p>
    <w:p>
      <w:pPr>
        <w:keepNext w:val="0"/>
        <w:spacing w:before="0" w:after="120" w:line="264" w:lineRule="auto"/>
        <w:jc w:val="left"/>
      </w:pPr>
      <w:r>
        <w:rPr>
          <w:rFonts w:ascii="Calibri" w:hAnsi="Calibri"/>
          <w:b w:val="0"/>
          <w:i w:val="0"/>
          <w:color w:val="24303F"/>
          <w:sz w:val="22"/>
        </w:rPr>
        <w:t>SP1 established the governance foundation needed before business information can safely direct an AI sales workflow. The system now knows what a valid business-information package looks like, separates preparation from approval, preserves history and supports controlled recovery.</w:t>
      </w:r>
    </w:p>
    <w:p>
      <w:pPr>
        <w:spacing w:after="160" w:line="280" w:lineRule="auto"/>
        <w:numPr>
          <w:ilvl w:val="0"/>
          <w:numId w:val="10"/>
        </w:numPr>
      </w:pPr>
      <w:r>
        <w:rPr>
          <w:rFonts w:ascii="Calibri" w:hAnsi="Calibri"/>
          <w:b/>
          <w:i w:val="0"/>
          <w:color w:val="0B2545"/>
          <w:sz w:val="22"/>
        </w:rPr>
        <w:t xml:space="preserve">Confirm content ownership. </w:t>
      </w:r>
      <w:r>
        <w:rPr>
          <w:rFonts w:ascii="Calibri" w:hAnsi="Calibri"/>
          <w:b w:val="0"/>
          <w:i w:val="0"/>
          <w:color w:val="24303F"/>
          <w:sz w:val="22"/>
        </w:rPr>
        <w:t>Name the business owner for each of the five information packs.</w:t>
      </w:r>
    </w:p>
    <w:p>
      <w:pPr>
        <w:spacing w:after="160" w:line="280" w:lineRule="auto"/>
        <w:numPr>
          <w:ilvl w:val="0"/>
          <w:numId w:val="10"/>
        </w:numPr>
      </w:pPr>
      <w:r>
        <w:rPr>
          <w:rFonts w:ascii="Calibri" w:hAnsi="Calibri"/>
          <w:b/>
          <w:i w:val="0"/>
          <w:color w:val="0B2545"/>
          <w:sz w:val="22"/>
        </w:rPr>
        <w:t xml:space="preserve">Confirm approval policy. </w:t>
      </w:r>
      <w:r>
        <w:rPr>
          <w:rFonts w:ascii="Calibri" w:hAnsi="Calibri"/>
          <w:b w:val="0"/>
          <w:i w:val="0"/>
          <w:color w:val="24303F"/>
          <w:sz w:val="22"/>
        </w:rPr>
        <w:t>Decide whether production requires the current authorized-operator model or a formal two-person maker-checker rule.</w:t>
      </w:r>
    </w:p>
    <w:p>
      <w:pPr>
        <w:spacing w:after="160" w:line="280" w:lineRule="auto"/>
        <w:numPr>
          <w:ilvl w:val="0"/>
          <w:numId w:val="10"/>
        </w:numPr>
      </w:pPr>
      <w:r>
        <w:rPr>
          <w:rFonts w:ascii="Calibri" w:hAnsi="Calibri"/>
          <w:b/>
          <w:i w:val="0"/>
          <w:color w:val="0B2545"/>
          <w:sz w:val="22"/>
        </w:rPr>
        <w:t xml:space="preserve">Keep production gated. </w:t>
      </w:r>
      <w:r>
        <w:rPr>
          <w:rFonts w:ascii="Calibri" w:hAnsi="Calibri"/>
          <w:b w:val="0"/>
          <w:i w:val="0"/>
          <w:color w:val="24303F"/>
          <w:sz w:val="22"/>
        </w:rPr>
        <w:t>Do not enable live promotion until real provider, managed infrastructure, legal/privacy and named production-owner evidence is approved.</w:t>
      </w:r>
    </w:p>
    <w:p>
      <w:pPr>
        <w:pStyle w:val="Heading2"/>
      </w:pPr>
      <w:r>
        <w:t>Evidence basis</w:t>
      </w:r>
    </w:p>
    <w:p>
      <w:pPr>
        <w:keepNext w:val="0"/>
        <w:spacing w:before="0" w:after="60" w:line="264" w:lineRule="auto"/>
        <w:jc w:val="left"/>
      </w:pPr>
      <w:r>
        <w:rPr>
          <w:rFonts w:ascii="Calibri" w:hAnsi="Calibri"/>
          <w:b w:val="0"/>
          <w:i w:val="0"/>
          <w:color w:val="667085"/>
          <w:sz w:val="19"/>
        </w:rPr>
        <w:t>This brief summarizes observed repository evidence from:</w:t>
      </w:r>
    </w:p>
    <w:p>
      <w:pPr>
        <w:keepNext w:val="0"/>
        <w:spacing w:before="0" w:after="20" w:line="264" w:lineRule="auto"/>
        <w:jc w:val="left"/>
      </w:pPr>
      <w:r>
        <w:rPr>
          <w:rFonts w:ascii="Calibri" w:hAnsi="Calibri"/>
          <w:b w:val="0"/>
          <w:i w:val="0"/>
          <w:color w:val="667085"/>
          <w:sz w:val="17"/>
        </w:rPr>
        <w:t>_bmad-output/implementation-artifacts/spec-sp1-t1-structured-business-information.md</w:t>
      </w:r>
    </w:p>
    <w:p>
      <w:pPr>
        <w:keepNext w:val="0"/>
        <w:spacing w:before="0" w:after="20" w:line="264" w:lineRule="auto"/>
        <w:jc w:val="left"/>
      </w:pPr>
      <w:r>
        <w:rPr>
          <w:rFonts w:ascii="Calibri" w:hAnsi="Calibri"/>
          <w:b w:val="0"/>
          <w:i w:val="0"/>
          <w:color w:val="667085"/>
          <w:sz w:val="17"/>
        </w:rPr>
        <w:t>_bmad-output/implementation-artifacts/spec-sp1-t2-versioned-business-information.md</w:t>
      </w:r>
    </w:p>
    <w:p>
      <w:pPr>
        <w:keepNext w:val="0"/>
        <w:spacing w:before="0" w:after="20" w:line="264" w:lineRule="auto"/>
        <w:jc w:val="left"/>
      </w:pPr>
      <w:r>
        <w:rPr>
          <w:rFonts w:ascii="Calibri" w:hAnsi="Calibri"/>
          <w:b w:val="0"/>
          <w:i w:val="0"/>
          <w:color w:val="667085"/>
          <w:sz w:val="17"/>
        </w:rPr>
        <w:t>_bmad-output/implementation-artifacts/test-evidence.md</w:t>
      </w:r>
    </w:p>
    <w:p>
      <w:pPr>
        <w:keepNext w:val="0"/>
        <w:spacing w:before="0" w:after="20" w:line="264" w:lineRule="auto"/>
        <w:jc w:val="left"/>
      </w:pPr>
      <w:r>
        <w:rPr>
          <w:rFonts w:ascii="Calibri" w:hAnsi="Calibri"/>
          <w:b w:val="0"/>
          <w:i w:val="0"/>
          <w:color w:val="667085"/>
          <w:sz w:val="17"/>
        </w:rPr>
        <w:t>docs/component-inventory.md and docs/project-context.md</w:t>
      </w:r>
    </w:p>
    <w:sectPr w:rsidR="00FC693F" w:rsidRPr="0006063C" w:rsidSect="00034616">
      <w:headerReference w:type="default" r:id="rId9"/>
      <w:footerReference w:type="default" r:id="rId10"/>
      <w:pgSz w:w="12240" w:h="15840"/>
      <w:pgMar w:top="1181" w:right="1440" w:bottom="1181"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i w:val="0"/>
        <w:color w:val="0B2545"/>
        <w:sz w:val="18"/>
      </w:rPr>
      <w:t>N8N SalesFlow AI</w:t>
    </w:r>
    <w:r>
      <w:rPr>
        <w:rFonts w:ascii="Calibri" w:hAnsi="Calibri"/>
        <w:b w:val="0"/>
        <w:i w:val="0"/>
        <w:color w:val="667085"/>
        <w:sz w:val="18"/>
      </w:rPr>
      <w:t xml:space="preserve">   |   SP1 Completion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pPr>
        <w:tabs>
          <w:tab w:val="num" w:pos="720"/>
        </w:tabs>
        <w:ind w:left="720" w:hanging="360"/>
        <w:spacing w:after="160" w:line="280"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430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SP1 Executive Achievement Brief</dc:title>
  <dc:subject>Plain-language summary of completed SP1 outcomes</dc:subject>
  <dc:creator>N8N SalesFlow AI Project</dc:creator>
  <cp:keywords>SP1, executive brief, business information governance, release controls</cp:keywords>
  <dc:description>generated by python-docx</dc:description>
  <cp:lastModifiedBy/>
  <cp:revision>1</cp:revision>
  <dcterms:created xsi:type="dcterms:W3CDTF">2013-12-23T23:15:00Z</dcterms:created>
  <dcterms:modified xsi:type="dcterms:W3CDTF">2013-12-23T23:15:00Z</dcterms:modified>
  <cp:category/>
</cp:coreProperties>
</file>