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bidi/>
        <w:spacing w:before="0" w:after="360" w:line="247" w:lineRule="auto"/>
        <w:jc w:val="right"/>
      </w:pPr>
    </w:p>
    <w:p>
      <w:pPr>
        <w:keepNext/>
        <w:keepLines w:val="0"/>
        <w:bidi/>
        <w:spacing w:before="0" w:after="20" w:line="240" w:lineRule="auto"/>
        <w:jc w:val="right"/>
      </w:pPr>
      <w:r>
        <w:rPr>
          <w:rFonts w:ascii="Arial" w:hAnsi="Arial" w:eastAsia="Arial" w:cs="Arial"/>
          <w:b/>
          <w:i w:val="0"/>
          <w:color w:val="0A1C2B"/>
          <w:sz w:val="58"/>
          <w:rtl/>
        </w:rPr>
        <w:t>سَمْت | SAMT 5.0</w:t>
      </w:r>
    </w:p>
    <w:p>
      <w:pPr>
        <w:keepNext/>
        <w:keepLines w:val="0"/>
        <w:bidi/>
        <w:spacing w:before="0" w:after="80" w:line="240" w:lineRule="auto"/>
        <w:jc w:val="right"/>
      </w:pPr>
      <w:r>
        <w:rPr>
          <w:rFonts w:ascii="Arial" w:hAnsi="Arial" w:eastAsia="Arial" w:cs="Arial"/>
          <w:b/>
          <w:i w:val="0"/>
          <w:color w:val="7C642F"/>
          <w:sz w:val="36"/>
          <w:rtl/>
        </w:rPr>
        <w:t>مخطط النطاق الوظيفي للمنصة الداخلية</w:t>
      </w:r>
    </w:p>
    <w:p>
      <w:pPr>
        <w:keepNext/>
        <w:keepLines w:val="0"/>
        <w:spacing w:before="0" w:after="320" w:line="240" w:lineRule="auto"/>
        <w:jc w:val="right"/>
      </w:pPr>
      <w:r>
        <w:rPr>
          <w:rFonts w:ascii="Arial" w:hAnsi="Arial" w:eastAsia="Arial" w:cs="Arial"/>
          <w:b/>
          <w:i w:val="0"/>
          <w:color w:val="5F6B75"/>
          <w:sz w:val="22"/>
        </w:rPr>
        <w:t>Functional Scope Blueprint</w:t>
      </w:r>
    </w:p>
    <w:p>
      <w:pPr>
        <w:keepNext w:val="0"/>
        <w:keepLines/>
        <w:bidi/>
        <w:spacing w:before="0" w:after="280" w:line="269" w:lineRule="auto"/>
        <w:jc w:val="right"/>
      </w:pPr>
      <w:r>
        <w:rPr>
          <w:rFonts w:ascii="Arial" w:hAnsi="Arial" w:eastAsia="Arial" w:cs="Arial"/>
          <w:b/>
          <w:i w:val="0"/>
          <w:color w:val="1D2730"/>
          <w:sz w:val="18"/>
          <w:rtl/>
        </w:rPr>
        <w:t>تحويل «سَمْت» من تجربة تعريفية تنفيذية إلى نموذج وظيفي متكامل يبرهن دورة البرنامج من الترشيح حتى قياس الأثر، مع فصل واضح بين العرض الاصطناعي والنسخة التشغيلية داخل بيئة الوزارة.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450"/>
        <w:gridCol w:w="7870"/>
      </w:tblGrid>
      <w:tr>
        <w:trPr>
          <w:tblHeader w:val="true"/>
          <w:cantSplit/>
        </w:trPr>
        <w:tc>
          <w:tcPr>
            <w:tcW w:type="dxa" w:w="24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6"/>
                <w:rtl/>
              </w:rPr>
              <w:t>البند</w:t>
            </w:r>
          </w:p>
        </w:tc>
        <w:tc>
          <w:tcPr>
            <w:tcW w:type="dxa" w:w="78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6"/>
                <w:rtl/>
              </w:rPr>
              <w:t>القيمة</w:t>
            </w:r>
          </w:p>
        </w:tc>
      </w:tr>
      <w:tr>
        <w:trPr>
          <w:cantSplit/>
        </w:trPr>
        <w:tc>
          <w:tcPr>
            <w:tcW w:type="dxa" w:w="245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i w:val="0"/>
                <w:color w:val="1D2730"/>
                <w:sz w:val="16"/>
                <w:rtl/>
              </w:rPr>
              <w:t>حالة الوثيقة</w:t>
            </w:r>
          </w:p>
        </w:tc>
        <w:tc>
          <w:tcPr>
            <w:tcW w:type="dxa" w:w="787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val="0"/>
                <w:i w:val="0"/>
                <w:color w:val="1D2730"/>
                <w:sz w:val="16"/>
                <w:rtl/>
              </w:rPr>
              <w:t>مسودة للمراجعة واعتماد النطاق</w:t>
            </w:r>
          </w:p>
        </w:tc>
      </w:tr>
      <w:tr>
        <w:trPr>
          <w:cantSplit/>
        </w:trPr>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6"/>
                <w:rtl/>
              </w:rPr>
              <w:t>الإصدار</w:t>
            </w:r>
          </w:p>
        </w:tc>
        <w:tc>
          <w:tcPr>
            <w:tcW w:type="dxa" w:w="78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0.1</w:t>
            </w:r>
          </w:p>
        </w:tc>
      </w:tr>
      <w:tr>
        <w:trPr>
          <w:cantSplit/>
        </w:trPr>
        <w:tc>
          <w:tcPr>
            <w:tcW w:type="dxa" w:w="245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i w:val="0"/>
                <w:color w:val="1D2730"/>
                <w:sz w:val="16"/>
                <w:rtl/>
              </w:rPr>
              <w:t>تاريخ الإصدار</w:t>
            </w:r>
          </w:p>
        </w:tc>
        <w:tc>
          <w:tcPr>
            <w:tcW w:type="dxa" w:w="787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val="0"/>
                <w:i w:val="0"/>
                <w:color w:val="1D2730"/>
                <w:sz w:val="16"/>
                <w:rtl/>
              </w:rPr>
              <w:t>24 يوليو 2026</w:t>
            </w:r>
          </w:p>
        </w:tc>
      </w:tr>
      <w:tr>
        <w:trPr>
          <w:cantSplit/>
        </w:trPr>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6"/>
                <w:rtl/>
              </w:rPr>
              <w:t>الجمهور</w:t>
            </w:r>
          </w:p>
        </w:tc>
        <w:tc>
          <w:tcPr>
            <w:tcW w:type="dxa" w:w="78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صاحب القرار، الراعي التنفيذي، مكتب البرنامج، التقنية، الأمن، الموارد البشرية، الحوكمة</w:t>
            </w:r>
          </w:p>
        </w:tc>
      </w:tr>
      <w:tr>
        <w:trPr>
          <w:cantSplit/>
        </w:trPr>
        <w:tc>
          <w:tcPr>
            <w:tcW w:type="dxa" w:w="245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i w:val="0"/>
                <w:color w:val="1D2730"/>
                <w:sz w:val="16"/>
                <w:rtl/>
              </w:rPr>
              <w:t>القرار المقصود</w:t>
            </w:r>
          </w:p>
        </w:tc>
        <w:tc>
          <w:tcPr>
            <w:tcW w:type="dxa" w:w="787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val="0"/>
                <w:i w:val="0"/>
                <w:color w:val="1D2730"/>
                <w:sz w:val="16"/>
                <w:rtl/>
              </w:rPr>
              <w:t>اعتماد نطاق بناء نموذج وظيفي ببيانات اصطناعية؛ وليس اعتماد الإنتاج أو الإنفاق</w:t>
            </w:r>
          </w:p>
        </w:tc>
      </w:tr>
      <w:tr>
        <w:trPr>
          <w:cantSplit/>
        </w:trPr>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6"/>
                <w:rtl/>
              </w:rPr>
              <w:t>المرجعية</w:t>
            </w:r>
          </w:p>
        </w:tc>
        <w:tc>
          <w:tcPr>
            <w:tcW w:type="dxa" w:w="78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حالة الاعتماد التنفيذي لسَمْت + التوجه المعتمد لبرنامج داخلي على مستوى الوزارة</w:t>
            </w:r>
          </w:p>
        </w:tc>
      </w:tr>
    </w:tbl>
    <w:p>
      <w:pPr>
        <w:keepNext w:val="0"/>
        <w:keepLines w:val="0"/>
        <w:bidi/>
        <w:spacing w:before="0" w:after="20" w:line="247" w:lineRule="auto"/>
        <w:jc w:val="right"/>
      </w:pPr>
    </w:p>
    <w:tbl>
      <w:tblPr>
        <w:tblW w:type="dxa" w:w="10320"/>
        <w:jc w:val="center"/>
        <w:tblLayout w:type="fixed"/>
        <w:tblLook w:firstColumn="1" w:firstRow="1" w:lastColumn="0" w:lastRow="0" w:noHBand="0" w:noVBand="1" w:val="04A0"/>
        <w:tblInd w:w="120" w:type="dxa"/>
        <w:bidiVisual/>
        <w:tblBorders>
          <w:top w:val="single" w:sz="7" w:space="0" w:color="B89A5C"/>
          <w:start w:val="single" w:sz="7" w:space="0" w:color="B89A5C"/>
          <w:bottom w:val="single" w:sz="7" w:space="0" w:color="B89A5C"/>
          <w:end w:val="single" w:sz="7" w:space="0" w:color="B89A5C"/>
        </w:tblBorders>
      </w:tblPr>
      <w:tblGrid>
        <w:gridCol w:w="10320"/>
      </w:tblGrid>
      <w:tr>
        <w:tc>
          <w:tcPr>
            <w:tcW w:type="dxa" w:w="10320"/>
            <w:tcMar>
              <w:top w:w="55" w:type="dxa"/>
              <w:start w:w="120" w:type="dxa"/>
              <w:bottom w:w="55" w:type="dxa"/>
              <w:end w:w="120" w:type="dxa"/>
            </w:tcMar>
            <w:vAlign w:val="center"/>
            <w:shd w:fill="F7F2E7" w:val="clear"/>
          </w:tcPr>
          <w:p>
            <w:pPr>
              <w:keepNext w:val="0"/>
              <w:keepLines/>
              <w:bidi/>
              <w:spacing w:before="0" w:after="40" w:line="259" w:lineRule="auto"/>
              <w:jc w:val="right"/>
            </w:pPr>
            <w:r>
              <w:rPr>
                <w:rFonts w:ascii="Arial" w:hAnsi="Arial" w:eastAsia="Arial" w:cs="Arial"/>
                <w:b/>
                <w:i w:val="0"/>
                <w:color w:val="7C642F"/>
                <w:sz w:val="18"/>
                <w:rtl/>
              </w:rPr>
              <w:t xml:space="preserve">تعريف سَمْت:  </w:t>
            </w:r>
            <w:r>
              <w:rPr>
                <w:rFonts w:ascii="Arial" w:hAnsi="Arial" w:eastAsia="Arial" w:cs="Arial"/>
                <w:b w:val="0"/>
                <w:i w:val="0"/>
                <w:color w:val="1D2730"/>
                <w:sz w:val="17"/>
                <w:rtl/>
              </w:rPr>
              <w:t>زمالة داخلية انتقائية لإعداد موظفين ذوي إمكانات عالية لقيادة الارتقاء الاستراتيجي، وتعزيز فاعلية الإدارة، وتحقيق تحول مؤسسي قابل للقياس. ليست محصورة في قطاع الطيران، وليست منصة عامة للمتقدمين من خارج الوزارة.</w:t>
            </w:r>
          </w:p>
        </w:tc>
      </w:tr>
    </w:tbl>
    <w:p>
      <w:pPr>
        <w:keepNext w:val="0"/>
        <w:keepLines w:val="0"/>
        <w:bidi/>
        <w:spacing w:before="0" w:after="20" w:line="247" w:lineRule="auto"/>
        <w:jc w:val="right"/>
      </w:pPr>
    </w:p>
    <w:p>
      <w:pPr>
        <w:keepNext w:val="0"/>
        <w:keepLines w:val="0"/>
        <w:bidi/>
        <w:spacing w:before="0" w:after="480" w:line="247" w:lineRule="auto"/>
        <w:jc w:val="right"/>
      </w:pPr>
    </w:p>
    <w:p>
      <w:pPr>
        <w:keepNext w:val="0"/>
        <w:keepLines w:val="0"/>
        <w:spacing w:before="0" w:after="100" w:line="240" w:lineRule="auto"/>
        <w:jc w:val="center"/>
      </w:pPr>
      <w:r>
        <w:rPr>
          <w:rFonts w:ascii="Arial" w:hAnsi="Arial" w:eastAsia="Arial" w:cs="Arial"/>
          <w:b/>
          <w:i w:val="0"/>
          <w:color w:val="17364A"/>
          <w:sz w:val="19"/>
        </w:rPr>
        <w:t>Strategic Advancement, Management &amp; Transformation</w:t>
      </w:r>
    </w:p>
    <w:p>
      <w:pPr>
        <w:keepNext w:val="0"/>
        <w:keepLines w:val="0"/>
        <w:bidi/>
        <w:spacing w:before="0" w:after="0" w:line="240" w:lineRule="auto"/>
        <w:jc w:val="center"/>
      </w:pPr>
      <w:r>
        <w:rPr>
          <w:rFonts w:ascii="Arial" w:hAnsi="Arial" w:eastAsia="Arial" w:cs="Arial"/>
          <w:b/>
          <w:i w:val="0"/>
          <w:color w:val="5F6B75"/>
          <w:sz w:val="17"/>
          <w:rtl/>
        </w:rPr>
        <w:t>مسودة نطاق — لا تتضمن بيانات شخصية أو تشغيلية حقيقية</w:t>
      </w:r>
    </w:p>
    <w:p>
      <w:r>
        <w:br w:type="page"/>
      </w:r>
    </w:p>
    <w:p>
      <w:pPr>
        <w:pStyle w:val="Heading1"/>
        <w:keepNext/>
        <w:keepLines w:val="0"/>
        <w:bidi/>
        <w:spacing w:before="300" w:after="140" w:line="240" w:lineRule="auto"/>
        <w:jc w:val="right"/>
      </w:pPr>
      <w:r>
        <w:rPr>
          <w:rFonts w:ascii="Arial" w:hAnsi="Arial" w:eastAsia="Arial" w:cs="Arial"/>
          <w:b/>
          <w:i w:val="0"/>
          <w:color w:val="0A1C2B"/>
          <w:sz w:val="31"/>
          <w:rtl/>
        </w:rPr>
        <w:t>1. الملخص التنفيذي</w:t>
      </w:r>
    </w:p>
    <w:p>
      <w:pPr>
        <w:keepNext w:val="0"/>
        <w:keepLines w:val="0"/>
        <w:bidi/>
        <w:spacing w:before="0" w:after="110" w:line="269" w:lineRule="auto"/>
        <w:jc w:val="right"/>
      </w:pPr>
      <w:r>
        <w:rPr>
          <w:rFonts w:ascii="Arial" w:hAnsi="Arial" w:eastAsia="Arial" w:cs="Arial"/>
          <w:b w:val="0"/>
          <w:i w:val="0"/>
          <w:color w:val="1D2730"/>
          <w:sz w:val="18"/>
          <w:rtl/>
        </w:rPr>
        <w:t>يوصي هذا المخطط ببناء «SAMT 5.0» بوصفها تجربة رقمية تنفيذية وعملية في آن واحد. تبدأ المنصة بتقديم الحجة المؤسسية والهوية التي نجحت في SAMT 4.0، ثم تنتقل إلى مساحات عمل حقيقية لكل دور: الموظف، المدير، المقيم، مكتب البرنامج، المرشد، راعي المشروع، الحوكمة وصاحب القرار.</w:t>
      </w:r>
    </w:p>
    <w:p>
      <w:pPr>
        <w:keepNext w:val="0"/>
        <w:keepLines w:val="0"/>
        <w:bidi/>
        <w:spacing w:before="0" w:after="110" w:line="269" w:lineRule="auto"/>
        <w:jc w:val="right"/>
      </w:pPr>
      <w:r>
        <w:rPr>
          <w:rFonts w:ascii="Arial" w:hAnsi="Arial" w:eastAsia="Arial" w:cs="Arial"/>
          <w:b w:val="0"/>
          <w:i w:val="0"/>
          <w:color w:val="1D2730"/>
          <w:sz w:val="18"/>
          <w:rtl/>
        </w:rPr>
        <w:t>الهدف من النموذج الأول ليس معالجة بيانات الوزارة أو محاكاة أمنها شكليًا، بل إثبات أن البرنامج قابل للإدارة والقياس من البداية إلى النهاية. لذلك يعمل العرض على بيانات اصطناعية، ويتيح تبديل الأدوار، ويحدّث الحالات واللوحات وسجل القرارات تلقائيًا، ويعيد نفسه إلى نقطة بداية معروفة.</w:t>
      </w:r>
    </w:p>
    <w:tbl>
      <w:tblPr>
        <w:tblW w:type="dxa" w:w="10320"/>
        <w:jc w:val="center"/>
        <w:tblLayout w:type="fixed"/>
        <w:tblLook w:firstColumn="1" w:firstRow="1" w:lastColumn="0" w:lastRow="0" w:noHBand="0" w:noVBand="1" w:val="04A0"/>
        <w:tblInd w:w="120" w:type="dxa"/>
        <w:bidiVisual/>
        <w:tblBorders>
          <w:top w:val="single" w:sz="7" w:space="0" w:color="17364A"/>
          <w:start w:val="single" w:sz="7" w:space="0" w:color="17364A"/>
          <w:bottom w:val="single" w:sz="7" w:space="0" w:color="17364A"/>
          <w:end w:val="single" w:sz="7" w:space="0" w:color="17364A"/>
        </w:tblBorders>
      </w:tblPr>
      <w:tblGrid>
        <w:gridCol w:w="10320"/>
      </w:tblGrid>
      <w:tr>
        <w:tc>
          <w:tcPr>
            <w:tcW w:type="dxa" w:w="10320"/>
            <w:tcMar>
              <w:top w:w="55" w:type="dxa"/>
              <w:start w:w="120" w:type="dxa"/>
              <w:bottom w:w="55" w:type="dxa"/>
              <w:end w:w="120" w:type="dxa"/>
            </w:tcMar>
            <w:vAlign w:val="center"/>
            <w:shd w:fill="EAF1F6" w:val="clear"/>
          </w:tcPr>
          <w:p>
            <w:pPr>
              <w:keepNext w:val="0"/>
              <w:keepLines/>
              <w:bidi/>
              <w:spacing w:before="0" w:after="40" w:line="259" w:lineRule="auto"/>
              <w:jc w:val="right"/>
            </w:pPr>
            <w:r>
              <w:rPr>
                <w:rFonts w:ascii="Arial" w:hAnsi="Arial" w:eastAsia="Arial" w:cs="Arial"/>
                <w:b/>
                <w:i w:val="0"/>
                <w:color w:val="17364A"/>
                <w:sz w:val="18"/>
                <w:rtl/>
              </w:rPr>
              <w:t xml:space="preserve">النتيجة المطلوبة من صاحب القرار:  </w:t>
            </w:r>
            <w:r>
              <w:rPr>
                <w:rFonts w:ascii="Arial" w:hAnsi="Arial" w:eastAsia="Arial" w:cs="Arial"/>
                <w:b w:val="0"/>
                <w:i w:val="0"/>
                <w:color w:val="1D2730"/>
                <w:sz w:val="17"/>
                <w:rtl/>
              </w:rPr>
              <w:t>أن يرى خلال عرض واحد كيف ينتقل ترشيح اصطناعي من الإنشاء إلى الأهلية والتقييم والاختيار والتهيئة والتنفيذ ومشروع التحول والتخرج ومراجعة الأثر؛ وأن يعرف في كل مرحلة من يملك القرار وما الدليل وما المخاطر وما الذي يحتاج اعتماده.</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1.1 قرار النطاق المقترح</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بناء نموذج وظيفي متكامل ببيانات اصطناعية يصلح للعرض والاختبار مع أصحاب المصلحة.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عدم ربط النموذج ببيانات الوزارة أو الهوية المؤسسية أو أي تكامل إنتاجي قبل الموافقات المختصة.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اعتبار هذا المخطط مرجع المتطلبات، مع تحويل النقاط غير المحسومة إلى سجل قرارات لا إلى افتراضات مخفية.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إجراء اعتماد ثانٍ مستقل قبل النسخة التشغيلية يشمل الأمن والخصوصية والاستضافة والتكامل والموارد.</w:t>
      </w:r>
    </w:p>
    <w:p>
      <w:pPr>
        <w:pStyle w:val="Heading2"/>
        <w:keepNext/>
        <w:keepLines w:val="0"/>
        <w:bidi/>
        <w:spacing w:before="200" w:after="100" w:line="240" w:lineRule="auto"/>
        <w:jc w:val="right"/>
      </w:pPr>
      <w:r>
        <w:rPr>
          <w:rFonts w:ascii="Arial" w:hAnsi="Arial" w:eastAsia="Arial" w:cs="Arial"/>
          <w:b/>
          <w:i w:val="0"/>
          <w:color w:val="17364A"/>
          <w:sz w:val="25"/>
          <w:rtl/>
        </w:rPr>
        <w:t>1.2 منطق المنتج</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200"/>
        <w:gridCol w:w="4000"/>
        <w:gridCol w:w="4120"/>
      </w:tblGrid>
      <w:tr>
        <w:trPr>
          <w:tblHeader w:val="true"/>
          <w:cantSplit/>
        </w:trPr>
        <w:tc>
          <w:tcPr>
            <w:tcW w:type="dxa" w:w="2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المستوى</w:t>
            </w:r>
          </w:p>
        </w:tc>
        <w:tc>
          <w:tcPr>
            <w:tcW w:type="dxa" w:w="40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وظيفته</w:t>
            </w:r>
          </w:p>
        </w:tc>
        <w:tc>
          <w:tcPr>
            <w:tcW w:type="dxa" w:w="41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ما يثبته</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التجربة التنفيذية</w:t>
            </w:r>
          </w:p>
        </w:tc>
        <w:tc>
          <w:tcPr>
            <w:tcW w:type="dxa" w:w="4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تشرح المشكلة والقيمة والركائز والقرار المطلوب.</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أن سَمْت تستحق الاعتماد.</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المنصة الوظيفية</w:t>
            </w:r>
          </w:p>
        </w:tc>
        <w:tc>
          <w:tcPr>
            <w:tcW w:type="dxa" w:w="4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تشغّل الرحلة والأدوار والقرارات والأدلة واللوحات.</w:t>
            </w:r>
          </w:p>
        </w:tc>
        <w:tc>
          <w:tcPr>
            <w:tcW w:type="dxa" w:w="4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أن سَمْت قابلة للتنفيذ والقياس.</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النسخة التشغيلية</w:t>
            </w:r>
          </w:p>
        </w:tc>
        <w:tc>
          <w:tcPr>
            <w:tcW w:type="dxa" w:w="4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تربط الهوية والموارد البشرية والوثائق والمراقبة داخل بيئة الوزارة.</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أن سَمْت جاهزة للاستخدام الرسمي.</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2. الأساس الحاكم والافتراضات</w:t>
      </w:r>
    </w:p>
    <w:p>
      <w:pPr>
        <w:pStyle w:val="Heading2"/>
        <w:keepNext/>
        <w:keepLines w:val="0"/>
        <w:bidi/>
        <w:spacing w:before="200" w:after="100" w:line="240" w:lineRule="auto"/>
        <w:jc w:val="right"/>
      </w:pPr>
      <w:r>
        <w:rPr>
          <w:rFonts w:ascii="Arial" w:hAnsi="Arial" w:eastAsia="Arial" w:cs="Arial"/>
          <w:b/>
          <w:i w:val="0"/>
          <w:color w:val="17364A"/>
          <w:sz w:val="25"/>
          <w:rtl/>
        </w:rPr>
        <w:t>2.1 حالة القرارات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050"/>
        <w:gridCol w:w="6170"/>
        <w:gridCol w:w="2100"/>
      </w:tblGrid>
      <w:tr>
        <w:trPr>
          <w:tblHeader w:val="true"/>
          <w:cantSplit/>
        </w:trPr>
        <w:tc>
          <w:tcPr>
            <w:tcW w:type="dxa" w:w="2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الحالة</w:t>
            </w:r>
          </w:p>
        </w:tc>
        <w:tc>
          <w:tcPr>
            <w:tcW w:type="dxa" w:w="61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ما تعنيه</w:t>
            </w:r>
          </w:p>
        </w:tc>
        <w:tc>
          <w:tcPr>
            <w:tcW w:type="dxa" w:w="21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مستوى الاعتماد</w:t>
            </w:r>
          </w:p>
        </w:tc>
      </w:tr>
      <w:tr>
        <w:trPr>
          <w:cantSplit/>
        </w:trPr>
        <w:tc>
          <w:tcPr>
            <w:tcW w:type="dxa" w:w="20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ثابت في هذا المخطط</w:t>
            </w:r>
          </w:p>
        </w:tc>
        <w:tc>
          <w:tcPr>
            <w:tcW w:type="dxa" w:w="61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برنامج داخلي لموظفي الوزارة؛ نطاقه الارتقاء الاستراتيجي والإدارة والتحول؛ المحافظة على هوية SAMT 4.0؛ واستخدام بيانات اصطناعية في العرض.</w:t>
            </w:r>
          </w:p>
        </w:tc>
        <w:tc>
          <w:tcPr>
            <w:tcW w:type="dxa" w:w="21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مرجع حاكم</w:t>
            </w:r>
          </w:p>
        </w:tc>
      </w:tr>
      <w:tr>
        <w:trPr>
          <w:cantSplit/>
        </w:trPr>
        <w:tc>
          <w:tcPr>
            <w:tcW w:type="dxa" w:w="20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معايير تصميم مقترحة</w:t>
            </w:r>
          </w:p>
        </w:tc>
        <w:tc>
          <w:tcPr>
            <w:tcW w:type="dxa" w:w="61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10 زملاء، 16 أسبوعًا، 4 محطات إعداد، 3 مشروعات تطبيقية، ومتابعة أثر حتى 12 شهرًا.</w:t>
            </w:r>
          </w:p>
        </w:tc>
        <w:tc>
          <w:tcPr>
            <w:tcW w:type="dxa" w:w="21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تحتاج اعتمادًا</w:t>
            </w:r>
          </w:p>
        </w:tc>
      </w:tr>
      <w:tr>
        <w:trPr>
          <w:cantSplit/>
        </w:trPr>
        <w:tc>
          <w:tcPr>
            <w:tcW w:type="dxa" w:w="20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يحتاج تعريفًا رسميًا</w:t>
            </w:r>
          </w:p>
        </w:tc>
        <w:tc>
          <w:tcPr>
            <w:tcW w:type="dxa" w:w="61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الأهلية، أوزان التقييم، سلطة القرار، آلية إعادة النظر، مالك البيانات، مدد الاحتفاظ، والتكاملات.</w:t>
            </w:r>
          </w:p>
        </w:tc>
        <w:tc>
          <w:tcPr>
            <w:tcW w:type="dxa" w:w="21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قرار قبل الإنتاج</w:t>
            </w:r>
          </w:p>
        </w:tc>
      </w:tr>
      <w:tr>
        <w:trPr>
          <w:cantSplit/>
        </w:trPr>
        <w:tc>
          <w:tcPr>
            <w:tcW w:type="dxa" w:w="20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ليس التزامًا تقنيًا</w:t>
            </w:r>
          </w:p>
        </w:tc>
        <w:tc>
          <w:tcPr>
            <w:tcW w:type="dxa" w:w="61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المنصات والمنتجات وأسماء الموردين؛ الاختيار النهائي يخضع لمعايير وبنية الوزارة.</w:t>
            </w:r>
          </w:p>
        </w:tc>
        <w:tc>
          <w:tcPr>
            <w:tcW w:type="dxa" w:w="21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محايد تقنيًا</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2.2 مبادئ التصميم</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البرنامج أولًا والتقنية ثانيًا: لا تتحول المنصة إلى بديل عن ميثاق البرنامج أو الحوكمة.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قرار بشري قابل للتدقيق: التقنية تجمع الأدلة وتطبق القواعد، ولا تستبدل لجنة الاختيار أو صاحب الصلاحية.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الحد الأدنى من البيانات: لا يُجمع حقل بلا غرض ومالك ومدة احتفاظ.</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فصل العرض عن الإنتاج: لا تُستخدم بيانات أو تكاملات أو ادعاءات مصادقة حقيقية في النسخة العامة التجريبية.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الأثر لا النشاط: تمييز الحضور والمخرجات والنتائج والمنافع بدل عرض أرقام بلا معنى.</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العربية أولًا مع تكافؤ إنجليزي كامل: لا تكون الإنجليزية ترجمة لاحقة ناقصة.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الأمن وإمكانية الوصول منذ التصميم: متطلبات قابلة للاختبار وليست ملحقًا قبل الإطلاق.</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مصدر كل قيمة: كل مؤشر وقرار ودرجة ووثيقة يرتبط بمصدر وإصدار ووقت وصاحب صلاحية.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التدرج والبوابات: كل مرحلة لها مدخلات وخروج وسلطة استثناء واضحة.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التكوين قبل البرمجة الصلبة: معايير الدفعات والنماذج والمصطلحات قابلة للإدارة بإصدار واعتماد.</w:t>
      </w:r>
    </w:p>
    <w:p>
      <w:pPr>
        <w:pStyle w:val="Heading2"/>
        <w:keepNext/>
        <w:keepLines w:val="0"/>
        <w:bidi/>
        <w:spacing w:before="200" w:after="100" w:line="240" w:lineRule="auto"/>
        <w:jc w:val="right"/>
      </w:pPr>
      <w:r>
        <w:rPr>
          <w:rFonts w:ascii="Arial" w:hAnsi="Arial" w:eastAsia="Arial" w:cs="Arial"/>
          <w:b/>
          <w:i w:val="0"/>
          <w:color w:val="17364A"/>
          <w:sz w:val="25"/>
          <w:rtl/>
        </w:rPr>
        <w:t>2.3 داخل النطاق وخارجه</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5160"/>
        <w:gridCol w:w="5160"/>
      </w:tblGrid>
      <w:tr>
        <w:trPr>
          <w:tblHeader w:val="true"/>
          <w:cantSplit/>
        </w:trPr>
        <w:tc>
          <w:tcPr>
            <w:tcW w:type="dxa" w:w="516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6"/>
                <w:rtl/>
              </w:rPr>
              <w:t>داخل نطاق النموذج الوظيفي</w:t>
            </w:r>
          </w:p>
        </w:tc>
        <w:tc>
          <w:tcPr>
            <w:tcW w:type="dxa" w:w="516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6"/>
                <w:rtl/>
              </w:rPr>
              <w:t>خارج النطاق حتى اعتماد الإنتاج</w:t>
            </w:r>
          </w:p>
        </w:tc>
      </w:tr>
      <w:tr>
        <w:trPr>
          <w:cantSplit/>
        </w:trPr>
        <w:tc>
          <w:tcPr>
            <w:tcW w:type="dxa" w:w="51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رحلة كاملة ببيانات اصطناعية وتبديل أدوار.</w:t>
            </w:r>
          </w:p>
        </w:tc>
        <w:tc>
          <w:tcPr>
            <w:tcW w:type="dxa" w:w="51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بيانات موظفين حقيقية أو وثائق موارد بشرية.</w:t>
            </w:r>
          </w:p>
        </w:tc>
      </w:tr>
      <w:tr>
        <w:trPr>
          <w:cantSplit/>
        </w:trPr>
        <w:tc>
          <w:tcPr>
            <w:tcW w:type="dxa" w:w="51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6"/>
                <w:rtl/>
              </w:rPr>
              <w:t>نماذج ترشيح وأهلية وتقييم واختيار تعمل.</w:t>
            </w:r>
          </w:p>
        </w:tc>
        <w:tc>
          <w:tcPr>
            <w:tcW w:type="dxa" w:w="51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6"/>
                <w:rtl/>
              </w:rPr>
              <w:t>تكامل حقيقي مع SSO أو HR أو البريد أو SIEM.</w:t>
            </w:r>
          </w:p>
        </w:tc>
      </w:tr>
      <w:tr>
        <w:trPr>
          <w:cantSplit/>
        </w:trPr>
        <w:tc>
          <w:tcPr>
            <w:tcW w:type="dxa" w:w="51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إدارة مراحل ومحطات إعداد وإرشاد ومشروعات.</w:t>
            </w:r>
          </w:p>
        </w:tc>
        <w:tc>
          <w:tcPr>
            <w:tcW w:type="dxa" w:w="51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استضافة تشغيلية أو اتصال بشبكات الوزارة.</w:t>
            </w:r>
          </w:p>
        </w:tc>
      </w:tr>
      <w:tr>
        <w:trPr>
          <w:cantSplit/>
        </w:trPr>
        <w:tc>
          <w:tcPr>
            <w:tcW w:type="dxa" w:w="51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6"/>
                <w:rtl/>
              </w:rPr>
              <w:t>لوحات تنفيذية وتشغيلية وسجل تدقيق تجريبي.</w:t>
            </w:r>
          </w:p>
        </w:tc>
        <w:tc>
          <w:tcPr>
            <w:tcW w:type="dxa" w:w="51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6"/>
                <w:rtl/>
              </w:rPr>
              <w:t>ادعاء اعتماد أمني أو تشغيلي أو قانوني.</w:t>
            </w:r>
          </w:p>
        </w:tc>
      </w:tr>
      <w:tr>
        <w:trPr>
          <w:cantSplit/>
        </w:trPr>
        <w:tc>
          <w:tcPr>
            <w:tcW w:type="dxa" w:w="51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واجهة عربية/إنجليزية واستجابة للأجهزة.</w:t>
            </w:r>
          </w:p>
        </w:tc>
        <w:tc>
          <w:tcPr>
            <w:tcW w:type="dxa" w:w="51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6"/>
                <w:rtl/>
              </w:rPr>
              <w:t>تعيين مورد أو منصة أو منتج تقني نهائي.</w:t>
            </w:r>
          </w:p>
        </w:tc>
      </w:tr>
      <w:tr>
        <w:trPr>
          <w:cantSplit/>
        </w:trPr>
        <w:tc>
          <w:tcPr>
            <w:tcW w:type="dxa" w:w="51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6"/>
                <w:rtl/>
              </w:rPr>
              <w:t>سيناريو عرض قابل لإعادة الضبط.</w:t>
            </w:r>
          </w:p>
        </w:tc>
        <w:tc>
          <w:tcPr>
            <w:tcW w:type="dxa" w:w="51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6"/>
                <w:rtl/>
              </w:rPr>
              <w:t>إطلاق ترشيحات أو اختيار موظفين فعليين.</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3. المستخدمون والأدوار والصلاحيات</w:t>
      </w:r>
    </w:p>
    <w:p>
      <w:pPr>
        <w:keepNext w:val="0"/>
        <w:keepLines w:val="0"/>
        <w:bidi/>
        <w:spacing w:before="0" w:after="110" w:line="269" w:lineRule="auto"/>
        <w:jc w:val="right"/>
      </w:pPr>
      <w:r>
        <w:rPr>
          <w:rFonts w:ascii="Arial" w:hAnsi="Arial" w:eastAsia="Arial" w:cs="Arial"/>
          <w:b w:val="0"/>
          <w:i w:val="0"/>
          <w:color w:val="1D2730"/>
          <w:sz w:val="18"/>
          <w:rtl/>
        </w:rPr>
        <w:t>تطبق المنصة مبدأ «المهمة والحاجة»؛ فلا يمنح لقب المستخدم وحده وصولًا شاملًا. قد يحمل الشخص أكثر من دور، لكن النظام يفرض الفصل عند التعارض، ويظهر الدور النشط، ويسجل التبديل والعمليات الحساسة.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900"/>
        <w:gridCol w:w="3000"/>
        <w:gridCol w:w="2620"/>
        <w:gridCol w:w="2800"/>
      </w:tblGrid>
      <w:tr>
        <w:trPr>
          <w:tblHeader w:val="true"/>
          <w:cantSplit/>
        </w:trPr>
        <w:tc>
          <w:tcPr>
            <w:tcW w:type="dxa" w:w="1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الدور</w:t>
            </w:r>
          </w:p>
        </w:tc>
        <w:tc>
          <w:tcPr>
            <w:tcW w:type="dxa" w:w="30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المهام الأساسية</w:t>
            </w:r>
          </w:p>
        </w:tc>
        <w:tc>
          <w:tcPr>
            <w:tcW w:type="dxa" w:w="26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ما لا يفعله</w:t>
            </w:r>
          </w:p>
        </w:tc>
        <w:tc>
          <w:tcPr>
            <w:tcW w:type="dxa" w:w="28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نطاق البيانات</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الراعي التنفيذي</w:t>
            </w:r>
          </w:p>
        </w:tc>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يعتمد الاتجاه، يستعرض القيمة والمخاطر، ويصدر قرارات البوابات.</w:t>
            </w:r>
          </w:p>
        </w:tc>
        <w:tc>
          <w:tcPr>
            <w:tcW w:type="dxa" w:w="26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يغيّر درجات المقيمين ولا يدير السجلات اليومية.</w:t>
            </w:r>
          </w:p>
        </w:tc>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ملخصات تنفيذية وقرارات ومؤشرات مجمعة.</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اللجنة التوجيهية</w:t>
            </w:r>
          </w:p>
        </w:tc>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تراجع التصميم والاختيار والاستثناءات والمنافع.</w:t>
            </w:r>
          </w:p>
        </w:tc>
        <w:tc>
          <w:tcPr>
            <w:tcW w:type="dxa" w:w="26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لا تدخل تقييمًا دون تكليف وتعارض مصالح معالج.</w:t>
            </w:r>
          </w:p>
        </w:tc>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السجلات اللازمة للقرار وفق الحاجة.</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مكتب البرنامج</w:t>
            </w:r>
          </w:p>
        </w:tc>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ينشئ الدفعات، يدير المواعيد والمسارات والمحطات والتواصل والتقارير.</w:t>
            </w:r>
          </w:p>
        </w:tc>
        <w:tc>
          <w:tcPr>
            <w:tcW w:type="dxa" w:w="26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يعتمد القرار النهائي منفردًا ولا يعدّل سجل التدقيق.</w:t>
            </w:r>
          </w:p>
        </w:tc>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كل سجلات البرنامج ضمن الصلاحية.</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الموظف المرشح / الزميل</w:t>
            </w:r>
          </w:p>
        </w:tc>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يستكمل الملف، يقر البيانات، يتابع الرحلة، ويسلم الأدلة والمشروعات.</w:t>
            </w:r>
          </w:p>
        </w:tc>
        <w:tc>
          <w:tcPr>
            <w:tcW w:type="dxa" w:w="26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لا يرى درجات المقيمين أو ملفات الآخرين.</w:t>
            </w:r>
          </w:p>
        </w:tc>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ملفه ومهامه وتغذيته الراجعة المصرح بها.</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المدير المرشِّح</w:t>
            </w:r>
          </w:p>
        </w:tc>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يرشح، يبرر، يعتمد وقت المشاركة، ويتحقق من أثر التطبيق.</w:t>
            </w:r>
          </w:p>
        </w:tc>
        <w:tc>
          <w:tcPr>
            <w:tcW w:type="dxa" w:w="26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يؤثر في التقييم المستقل بعد الترشيح.</w:t>
            </w:r>
          </w:p>
        </w:tc>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ملف الترشيح والتقدم والأثر لموظفيه فقط.</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مراجع الأهلية / الموارد البشرية</w:t>
            </w:r>
          </w:p>
        </w:tc>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يتحقق من الشروط والبيانات المرجعية ويسجل الاستثناءات.</w:t>
            </w:r>
          </w:p>
        </w:tc>
        <w:tc>
          <w:tcPr>
            <w:tcW w:type="dxa" w:w="26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لا يمنح درجات الاختيار إلا بدور مستقل مصرح.</w:t>
            </w:r>
          </w:p>
        </w:tc>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حقول الأهلية فقط وفق مبدأ الحد الأدنى.</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المقيِّم / عضو اللجنة</w:t>
            </w:r>
          </w:p>
        </w:tc>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يقر تعارض المصالح، يراجع الأدلة، يسجل الدرجات والمبررات.</w:t>
            </w:r>
          </w:p>
        </w:tc>
        <w:tc>
          <w:tcPr>
            <w:tcW w:type="dxa" w:w="26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يرى تقييمات الآخرين قبل الإرسال إذا اعتُمد التقييم المستقل.</w:t>
            </w:r>
          </w:p>
        </w:tc>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الحالات المكلّف بها فقط.</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المرشد / الموجّه</w:t>
            </w:r>
          </w:p>
        </w:tc>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يتابع خطط التطوير والجلسات والإجراءات المتفق عليها.</w:t>
            </w:r>
          </w:p>
        </w:tc>
        <w:tc>
          <w:tcPr>
            <w:tcW w:type="dxa" w:w="26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لا يطلع على نتائج الاختيار السرية أو ملاحظات خارج نطاق الإرشاد.</w:t>
            </w:r>
          </w:p>
        </w:tc>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سجلات الإرشاد المصرح بها.</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مالك التحدي / راعي المشروع</w:t>
            </w:r>
          </w:p>
        </w:tc>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يعرف التحدي، يعتمد الميثاق، يراجع المخرجات، ويتحقق من المنفعة.</w:t>
            </w:r>
          </w:p>
        </w:tc>
        <w:tc>
          <w:tcPr>
            <w:tcW w:type="dxa" w:w="26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يدير تقييم الفرد أو بياناته الوظيفية.</w:t>
            </w:r>
          </w:p>
        </w:tc>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المشروع والنتائج المرتبطة به.</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مضيف محطة الإعداد</w:t>
            </w:r>
          </w:p>
        </w:tc>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يؤكد الجدول والحضور والتغذية الراجعة إذا سُمح بالوصول.</w:t>
            </w:r>
          </w:p>
        </w:tc>
        <w:tc>
          <w:tcPr>
            <w:tcW w:type="dxa" w:w="26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لا يدخل المنصة الداخلية مباشرةً دون قناة وهوية معتمدتين.</w:t>
            </w:r>
          </w:p>
        </w:tc>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الحد الأدنى من بيانات المحطة والمجموعة.</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الحوكمة / التدقيق</w:t>
            </w:r>
          </w:p>
        </w:tc>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يراجع القرارات والاستثناءات والوصول والتغييرات ويصدر أدلة تدقيق.</w:t>
            </w:r>
          </w:p>
        </w:tc>
        <w:tc>
          <w:tcPr>
            <w:tcW w:type="dxa" w:w="26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وصول قراءة مضبوط؛ لا يعدّل العمليات موضوع التدقيق.</w:t>
            </w:r>
          </w:p>
        </w:tc>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سجل زمني ومصادر القيم ونسخ التصدير المحكومة.</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مسؤول النظام التقني</w:t>
            </w:r>
          </w:p>
        </w:tc>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يدير التكوين التقني والتكامل والمراقبة والنسخ الاحتياطي.</w:t>
            </w:r>
          </w:p>
        </w:tc>
        <w:tc>
          <w:tcPr>
            <w:tcW w:type="dxa" w:w="26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لا يدير محتوى البرنامج أو يتخذ قرارات الاختيار.</w:t>
            </w:r>
          </w:p>
        </w:tc>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سجلات تقنية؛ البيانات业务ية مقيدة ومبررة.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3.1 قواعد صلاحيات لا تقبل التخفيف</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يستطيع المقيم فتح ملف قبل إقرار تعارض المصالح.</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يستطيع مكتب البرنامج تعديل درجة مقفلة؛ وأي تصحيح يُسجل كإصدار مع سبب واعتماد.</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يطّلع المدير على ملاحظات المقيمين السرية أو ملفات مرشحين خارج نطاقه.</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يستطيع المسؤول التقني اتخاذ قرار برنامج أو تغيير محتوى تدقيق دون أثر وتحكم مستقل.</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ينشر قرار اختيار أو تخرج قبل اكتمال بوابة الاعتماد وصلاحية الناشر.</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أي تصدير يحمل النطاق والتاريخ والمصدر والتصنيف ويُسجل في أثر التدقيق.</w:t>
      </w:r>
    </w:p>
    <w:p>
      <w:pPr>
        <w:pStyle w:val="Heading2"/>
        <w:keepNext/>
        <w:keepLines w:val="0"/>
        <w:bidi/>
        <w:spacing w:before="200" w:after="100" w:line="240" w:lineRule="auto"/>
        <w:jc w:val="right"/>
      </w:pPr>
      <w:r>
        <w:rPr>
          <w:rFonts w:ascii="Arial" w:hAnsi="Arial" w:eastAsia="Arial" w:cs="Arial"/>
          <w:b/>
          <w:i w:val="0"/>
          <w:color w:val="17364A"/>
          <w:sz w:val="25"/>
          <w:rtl/>
        </w:rPr>
        <w:t>3.2 فصل المسؤوليات المقترح</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800"/>
        <w:gridCol w:w="2500"/>
        <w:gridCol w:w="2520"/>
        <w:gridCol w:w="2500"/>
      </w:tblGrid>
      <w:tr>
        <w:trPr>
          <w:tblHeader w:val="true"/>
          <w:cantSplit/>
        </w:trPr>
        <w:tc>
          <w:tcPr>
            <w:tcW w:type="dxa" w:w="28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القرار / العملية</w:t>
            </w:r>
          </w:p>
        </w:tc>
        <w:tc>
          <w:tcPr>
            <w:tcW w:type="dxa" w:w="25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من يُعد</w:t>
            </w:r>
          </w:p>
        </w:tc>
        <w:tc>
          <w:tcPr>
            <w:tcW w:type="dxa" w:w="25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من يراجع</w:t>
            </w:r>
          </w:p>
        </w:tc>
        <w:tc>
          <w:tcPr>
            <w:tcW w:type="dxa" w:w="25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من يعتمد</w:t>
            </w:r>
          </w:p>
        </w:tc>
      </w:tr>
      <w:tr>
        <w:trPr>
          <w:cantSplit/>
        </w:trPr>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معايير الدفعة</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مكتب البرنامج</w:t>
            </w:r>
          </w:p>
        </w:tc>
        <w:tc>
          <w:tcPr>
            <w:tcW w:type="dxa" w:w="2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الموارد البشرية / الحوكمة</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الراعي أو اللجنة</w:t>
            </w:r>
          </w:p>
        </w:tc>
      </w:tr>
      <w:tr>
        <w:trPr>
          <w:cantSplit/>
        </w:trPr>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قرار الأهلية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مراجع الأهلية</w:t>
            </w:r>
          </w:p>
        </w:tc>
        <w:tc>
          <w:tcPr>
            <w:tcW w:type="dxa" w:w="2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مالك القاعدة عند الاستثناء</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السلطة المحددة</w:t>
            </w:r>
          </w:p>
        </w:tc>
      </w:tr>
      <w:tr>
        <w:trPr>
          <w:cantSplit/>
        </w:trPr>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أداة التقييم</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مالك التقييم</w:t>
            </w:r>
          </w:p>
        </w:tc>
        <w:tc>
          <w:tcPr>
            <w:tcW w:type="dxa" w:w="2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المختصون والحوكمة</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اللجنة</w:t>
            </w:r>
          </w:p>
        </w:tc>
      </w:tr>
      <w:tr>
        <w:trPr>
          <w:cantSplit/>
        </w:trPr>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قرار الاختيار</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لجنة الاختيار</w:t>
            </w:r>
          </w:p>
        </w:tc>
        <w:tc>
          <w:tcPr>
            <w:tcW w:type="dxa" w:w="2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الحوكمة / سكرتارية اللجنة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صاحب الصلاحية</w:t>
            </w:r>
          </w:p>
        </w:tc>
      </w:tr>
      <w:tr>
        <w:trPr>
          <w:cantSplit/>
        </w:trPr>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تغيير بعد الإقفال</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مالك السجل</w:t>
            </w:r>
          </w:p>
        </w:tc>
        <w:tc>
          <w:tcPr>
            <w:tcW w:type="dxa" w:w="2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الحوكمة</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سلطة الاستثناء</w:t>
            </w:r>
          </w:p>
        </w:tc>
      </w:tr>
      <w:tr>
        <w:trPr>
          <w:cantSplit/>
        </w:trPr>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قرار التخرج</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مكتب البرنامج</w:t>
            </w:r>
          </w:p>
        </w:tc>
        <w:tc>
          <w:tcPr>
            <w:tcW w:type="dxa" w:w="2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لجنة البرنامج</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صاحب الصلاحية</w:t>
            </w:r>
          </w:p>
        </w:tc>
      </w:tr>
      <w:tr>
        <w:trPr>
          <w:cantSplit/>
        </w:trPr>
        <w:tc>
          <w:tcPr>
            <w:tcW w:type="dxa" w:w="2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تحقق المنفعة</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مالك المنفعة</w:t>
            </w:r>
          </w:p>
        </w:tc>
        <w:tc>
          <w:tcPr>
            <w:tcW w:type="dxa" w:w="2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مكتب البرنامج</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الراعي التنفيذي</w:t>
            </w:r>
          </w:p>
        </w:tc>
      </w:tr>
      <w:tr>
        <w:trPr>
          <w:cantSplit/>
        </w:trPr>
        <w:tc>
          <w:tcPr>
            <w:tcW w:type="dxa" w:w="2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نشر تقرير تنفيذي</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مكتب البرنامج</w:t>
            </w:r>
          </w:p>
        </w:tc>
        <w:tc>
          <w:tcPr>
            <w:tcW w:type="dxa" w:w="2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مالك البيانات / الحوكمة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الناشر المخول</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4. دورة العمل من البداية إلى الأثر</w:t>
      </w:r>
    </w:p>
    <w:p>
      <w:pPr>
        <w:keepNext w:val="0"/>
        <w:keepLines w:val="0"/>
        <w:bidi/>
        <w:spacing w:before="0" w:after="110" w:line="269" w:lineRule="auto"/>
        <w:jc w:val="right"/>
      </w:pPr>
      <w:r>
        <w:rPr>
          <w:rFonts w:ascii="Arial" w:hAnsi="Arial" w:eastAsia="Arial" w:cs="Arial"/>
          <w:b w:val="0"/>
          <w:i w:val="0"/>
          <w:color w:val="1D2730"/>
          <w:sz w:val="18"/>
          <w:rtl/>
        </w:rPr>
        <w:t>يعامل النظام رحلة سَمْت كسلسلة حالات وبوابات قرار، لا كصفحات مستقلة. كل انتقال يتطلب شرطًا وسلطة وسببًا، ويحدّث تلقائيًا المهام والتنبيهات واللوحات وسجل التدقيق.</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900"/>
        <w:gridCol w:w="2450"/>
        <w:gridCol w:w="3470"/>
        <w:gridCol w:w="2500"/>
      </w:tblGrid>
      <w:tr>
        <w:trPr>
          <w:tblHeader w:val="true"/>
          <w:cantSplit/>
        </w:trPr>
        <w:tc>
          <w:tcPr>
            <w:tcW w:type="dxa" w:w="1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c>
          <w:tcPr>
            <w:tcW w:type="dxa" w:w="24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شرط الدخول</w:t>
            </w:r>
          </w:p>
        </w:tc>
        <w:tc>
          <w:tcPr>
            <w:tcW w:type="dxa" w:w="3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العمليات الرئيسية</w:t>
            </w:r>
          </w:p>
        </w:tc>
        <w:tc>
          <w:tcPr>
            <w:tcW w:type="dxa" w:w="25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قرار / مخرج الخروج</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0. إعداد الدفعة</w:t>
            </w:r>
          </w:p>
        </w:tc>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اعتماد معايير الدفعة والجدول والأدوار.</w:t>
            </w:r>
          </w:p>
        </w:tc>
        <w:tc>
          <w:tcPr>
            <w:tcW w:type="dxa" w:w="34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إنشاء القواعد والنماذج والمواعيد ومصفوفة الصلاحيات.</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دفعة منشورة ومفتوحة للترشيح.</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1. الترشيح</w:t>
            </w:r>
          </w:p>
        </w:tc>
        <w:tc>
          <w:tcPr>
            <w:tcW w:type="dxa" w:w="24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موظف مستوفٍ أوليًا ومدير مخول.</w:t>
            </w:r>
          </w:p>
        </w:tc>
        <w:tc>
          <w:tcPr>
            <w:tcW w:type="dxa" w:w="34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إدخال المبررات والأدلة وإقرار الموظف واعتماد وقت المشاركة.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ترشيح مُرسل أو منسحب أو منتهي.</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2. التحقق من الأهلية</w:t>
            </w:r>
          </w:p>
        </w:tc>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ترشيح مكتمل.</w:t>
            </w:r>
          </w:p>
        </w:tc>
        <w:tc>
          <w:tcPr>
            <w:tcW w:type="dxa" w:w="34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فحص الشروط والبيانات والتكرار والاستثناءات.</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مؤهل، غير مؤهل، أو يحتاج استكمالًا.</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3. التقييم</w:t>
            </w:r>
          </w:p>
        </w:tc>
        <w:tc>
          <w:tcPr>
            <w:tcW w:type="dxa" w:w="24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مرشح مؤهل ومقيمون معيّنون.</w:t>
            </w:r>
          </w:p>
        </w:tc>
        <w:tc>
          <w:tcPr>
            <w:tcW w:type="dxa" w:w="34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إقرار التعارض، تقييم مستقل، مقابلة، ومعايرة عند الحاجة.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تقييم مكتمل ومقفل مع أثر تغييرات.</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4. الاختيار والاعتماد</w:t>
            </w:r>
          </w:p>
        </w:tc>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ملف تقييم مكتمل.</w:t>
            </w:r>
          </w:p>
        </w:tc>
        <w:tc>
          <w:tcPr>
            <w:tcW w:type="dxa" w:w="34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مراجعة القائمة المختصرة والقدرة الاستيعابية والمخاطر وتوثيق القرار.</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مختار، احتياط، غير مختار، أو مؤجل.</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5. التهيئة</w:t>
            </w:r>
          </w:p>
        </w:tc>
        <w:tc>
          <w:tcPr>
            <w:tcW w:type="dxa" w:w="24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قرار اختيار معتمد.</w:t>
            </w:r>
          </w:p>
        </w:tc>
        <w:tc>
          <w:tcPr>
            <w:tcW w:type="dxa" w:w="34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قبول المشاركة، إقرارات، خط أساس، جدول، وخطة تطوير أولية.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زميل مهيأ وجاهز للبدء.</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6. تنفيذ الزمالة</w:t>
            </w:r>
          </w:p>
        </w:tc>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اكتمال التهيئة.</w:t>
            </w:r>
          </w:p>
        </w:tc>
        <w:tc>
          <w:tcPr>
            <w:tcW w:type="dxa" w:w="34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تعلم تنفيذي، حضور، مهام، محطات إعداد، إرشاد، وتغذية راجعة.</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متطلبات البرنامج مكتملة أو استثناء موثق.</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7. مشروع التحول التطبيقي</w:t>
            </w:r>
          </w:p>
        </w:tc>
        <w:tc>
          <w:tcPr>
            <w:tcW w:type="dxa" w:w="24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تحدٍ وراعٍ وميثاق معتمد.</w:t>
            </w:r>
          </w:p>
        </w:tc>
        <w:tc>
          <w:tcPr>
            <w:tcW w:type="dxa" w:w="34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معالم، مخاطر، قرارات، أدلة، مراجعات مرحلية، وتحقق من المنفعة.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مخرج مقبول، يحتاج تطويرًا، أو مغلق بمبرر.</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8. التخرج والإغلاق</w:t>
            </w:r>
          </w:p>
        </w:tc>
        <w:tc>
          <w:tcPr>
            <w:tcW w:type="dxa" w:w="24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اكتمال شروط المشاركة والمشروع.</w:t>
            </w:r>
          </w:p>
        </w:tc>
        <w:tc>
          <w:tcPr>
            <w:tcW w:type="dxa" w:w="34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قرار التخرج، التقييم الختامي، وخطة نقل التعلم.</w:t>
            </w:r>
          </w:p>
        </w:tc>
        <w:tc>
          <w:tcPr>
            <w:tcW w:type="dxa" w:w="2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متخرج، إكمال مشروط، أو غير مكتمل.</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9. متابعة الأثر</w:t>
            </w:r>
          </w:p>
        </w:tc>
        <w:tc>
          <w:tcPr>
            <w:tcW w:type="dxa" w:w="24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خطة تطبيق ونتائج خط أساس.</w:t>
            </w:r>
          </w:p>
        </w:tc>
        <w:tc>
          <w:tcPr>
            <w:tcW w:type="dxa" w:w="34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مراجعة بعد 6 و12 شهرًا والتحقق من الاستخدام والمنفعة.</w:t>
            </w:r>
          </w:p>
        </w:tc>
        <w:tc>
          <w:tcPr>
            <w:tcW w:type="dxa" w:w="2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أثر مثبت، جزئي، غير مثبت، أو يحتاج وقتًا إضافيًا.</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4.1 نموذج حالات الترشيح</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000"/>
        <w:gridCol w:w="4360"/>
        <w:gridCol w:w="3960"/>
      </w:tblGrid>
      <w:tr>
        <w:trPr>
          <w:tblHeader w:val="true"/>
          <w:cantSplit/>
        </w:trPr>
        <w:tc>
          <w:tcPr>
            <w:tcW w:type="dxa" w:w="20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الحالة</w:t>
            </w:r>
          </w:p>
        </w:tc>
        <w:tc>
          <w:tcPr>
            <w:tcW w:type="dxa" w:w="436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المعنى</w:t>
            </w:r>
          </w:p>
        </w:tc>
        <w:tc>
          <w:tcPr>
            <w:tcW w:type="dxa" w:w="396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الانتقالات المسموحة</w:t>
            </w:r>
          </w:p>
        </w:tc>
      </w:tr>
      <w:tr>
        <w:trPr>
          <w:cantSplit/>
        </w:trPr>
        <w:tc>
          <w:tcPr>
            <w:tcW w:type="dxa" w:w="2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مسودة</w:t>
            </w:r>
          </w:p>
        </w:tc>
        <w:tc>
          <w:tcPr>
            <w:tcW w:type="dxa" w:w="43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لم يُرسل بعد.</w:t>
            </w:r>
          </w:p>
        </w:tc>
        <w:tc>
          <w:tcPr>
            <w:tcW w:type="dxa" w:w="39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إرسال، حذف المسودة، أو انتهاء الموعد.</w:t>
            </w:r>
          </w:p>
        </w:tc>
      </w:tr>
      <w:tr>
        <w:trPr>
          <w:cantSplit/>
        </w:trPr>
        <w:tc>
          <w:tcPr>
            <w:tcW w:type="dxa" w:w="2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مرسل</w:t>
            </w:r>
          </w:p>
        </w:tc>
        <w:tc>
          <w:tcPr>
            <w:tcW w:type="dxa" w:w="43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اكتملت المتطلبات الأولية.</w:t>
            </w:r>
          </w:p>
        </w:tc>
        <w:tc>
          <w:tcPr>
            <w:tcW w:type="dxa" w:w="39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إلى مراجعة الأهلية أو سحب وفق السياسة.</w:t>
            </w:r>
          </w:p>
        </w:tc>
      </w:tr>
      <w:tr>
        <w:trPr>
          <w:cantSplit/>
        </w:trPr>
        <w:tc>
          <w:tcPr>
            <w:tcW w:type="dxa" w:w="2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يحتاج استكمالًا</w:t>
            </w:r>
          </w:p>
        </w:tc>
        <w:tc>
          <w:tcPr>
            <w:tcW w:type="dxa" w:w="43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نقص محدد ومهلة معلومة.</w:t>
            </w:r>
          </w:p>
        </w:tc>
        <w:tc>
          <w:tcPr>
            <w:tcW w:type="dxa" w:w="39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إعادة إرسال أو إغلاق.</w:t>
            </w:r>
          </w:p>
        </w:tc>
      </w:tr>
      <w:tr>
        <w:trPr>
          <w:cantSplit/>
        </w:trPr>
        <w:tc>
          <w:tcPr>
            <w:tcW w:type="dxa" w:w="2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مؤهل</w:t>
            </w:r>
          </w:p>
        </w:tc>
        <w:tc>
          <w:tcPr>
            <w:tcW w:type="dxa" w:w="43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استوفى الشروط أو استثناء معتمد.</w:t>
            </w:r>
          </w:p>
        </w:tc>
        <w:tc>
          <w:tcPr>
            <w:tcW w:type="dxa" w:w="39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إلى التقييم.</w:t>
            </w:r>
          </w:p>
        </w:tc>
      </w:tr>
      <w:tr>
        <w:trPr>
          <w:cantSplit/>
        </w:trPr>
        <w:tc>
          <w:tcPr>
            <w:tcW w:type="dxa" w:w="2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غير مؤهل</w:t>
            </w:r>
          </w:p>
        </w:tc>
        <w:tc>
          <w:tcPr>
            <w:tcW w:type="dxa" w:w="43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لم يستوف شرطًا محددًا.</w:t>
            </w:r>
          </w:p>
        </w:tc>
        <w:tc>
          <w:tcPr>
            <w:tcW w:type="dxa" w:w="39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إغلاق أو إعادة نظر إجرائية.</w:t>
            </w:r>
          </w:p>
        </w:tc>
      </w:tr>
      <w:tr>
        <w:trPr>
          <w:cantSplit/>
        </w:trPr>
        <w:tc>
          <w:tcPr>
            <w:tcW w:type="dxa" w:w="2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قيد التقييم</w:t>
            </w:r>
          </w:p>
        </w:tc>
        <w:tc>
          <w:tcPr>
            <w:tcW w:type="dxa" w:w="43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مقيمون مكلّفون.</w:t>
            </w:r>
          </w:p>
        </w:tc>
        <w:tc>
          <w:tcPr>
            <w:tcW w:type="dxa" w:w="39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اكتمال أو إعادة تكليف.</w:t>
            </w:r>
          </w:p>
        </w:tc>
      </w:tr>
      <w:tr>
        <w:trPr>
          <w:cantSplit/>
        </w:trPr>
        <w:tc>
          <w:tcPr>
            <w:tcW w:type="dxa" w:w="2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مختار / احتياط / غير مختار</w:t>
            </w:r>
          </w:p>
        </w:tc>
        <w:tc>
          <w:tcPr>
            <w:tcW w:type="dxa" w:w="43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قرار موثق ومعتمد.</w:t>
            </w:r>
          </w:p>
        </w:tc>
        <w:tc>
          <w:tcPr>
            <w:tcW w:type="dxa" w:w="396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تهيئة، تفعيل احتياط، أو إغلاق.</w:t>
            </w:r>
          </w:p>
        </w:tc>
      </w:tr>
      <w:tr>
        <w:trPr>
          <w:cantSplit/>
        </w:trPr>
        <w:tc>
          <w:tcPr>
            <w:tcW w:type="dxa" w:w="2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منسحب / مغلق</w:t>
            </w:r>
          </w:p>
        </w:tc>
        <w:tc>
          <w:tcPr>
            <w:tcW w:type="dxa" w:w="43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نهاية مع سبب.</w:t>
            </w:r>
          </w:p>
        </w:tc>
        <w:tc>
          <w:tcPr>
            <w:tcW w:type="dxa" w:w="396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لا انتقال إلا بإعادة فتح معتمدة.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4.2 قواعد الاستثناء</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يُنشئ الاستثناء قاعدة جديدة ضمنية؛ يُسجل منفصلًا ويُراجع أثر تكراره.</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يحدد كل استثناء: القاعدة، السبب، المخاطر، المدة، المالك، السلطة، والشروط التعويضية.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يظهر الاستثناء في اللوحة المناسبة حتى الإغلاق، ولا يُخفى بمجرد انتقال الحالة.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تُحلل الاستثناءات المتكررة عند إغلاق الدفعة لتعديل التصميم أو القاعدة رسميًا.</w:t>
      </w:r>
    </w:p>
    <w:p>
      <w:pPr>
        <w:pStyle w:val="Heading1"/>
        <w:keepNext/>
        <w:keepLines w:val="0"/>
        <w:bidi/>
        <w:spacing w:before="300" w:after="140" w:line="240" w:lineRule="auto"/>
        <w:jc w:val="right"/>
      </w:pPr>
      <w:r>
        <w:rPr>
          <w:rFonts w:ascii="Arial" w:hAnsi="Arial" w:eastAsia="Arial" w:cs="Arial"/>
          <w:b/>
          <w:i w:val="0"/>
          <w:color w:val="0A1C2B"/>
          <w:sz w:val="31"/>
          <w:rtl/>
        </w:rPr>
        <w:t>5. الوحدات الوظيفية والشاشات</w:t>
      </w:r>
    </w:p>
    <w:p>
      <w:pPr>
        <w:pStyle w:val="Heading2"/>
        <w:keepNext/>
        <w:keepLines w:val="0"/>
        <w:bidi/>
        <w:spacing w:before="200" w:after="100" w:line="240" w:lineRule="auto"/>
        <w:jc w:val="right"/>
      </w:pPr>
      <w:r>
        <w:rPr>
          <w:rFonts w:ascii="Arial" w:hAnsi="Arial" w:eastAsia="Arial" w:cs="Arial"/>
          <w:b/>
          <w:i w:val="0"/>
          <w:color w:val="17364A"/>
          <w:sz w:val="25"/>
          <w:rtl/>
        </w:rPr>
        <w:t>5.1 خريطة الوحدات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850"/>
        <w:gridCol w:w="2250"/>
        <w:gridCol w:w="5550"/>
        <w:gridCol w:w="1670"/>
      </w:tblGrid>
      <w:tr>
        <w:trPr>
          <w:tblHeader w:val="true"/>
          <w:cantSplit/>
        </w:trPr>
        <w:tc>
          <w:tcPr>
            <w:tcW w:type="dxa" w:w="8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الرمز</w:t>
            </w:r>
          </w:p>
        </w:tc>
        <w:tc>
          <w:tcPr>
            <w:tcW w:type="dxa" w:w="22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الوحدة</w:t>
            </w:r>
          </w:p>
        </w:tc>
        <w:tc>
          <w:tcPr>
            <w:tcW w:type="dxa" w:w="55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النطاق الوظيفي</w:t>
            </w:r>
          </w:p>
        </w:tc>
        <w:tc>
          <w:tcPr>
            <w:tcW w:type="dxa" w:w="16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التوفر</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M01</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البوابة والصفحة الشخصية</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دخول داخلي، ملخص الدور، المهام، التنبيهات، والبحث.</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M02</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إدارة البرنامج والدفعات</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الهيكل، المعايير، المواعيد، الطاقة الاستيعابية، والإصدارات.</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M03</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الترشيح والأهلية</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ترشيح المدير، إقرار الموظف، فحص الشروط، والاستثناءات.</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M04</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التقييم والاختيار</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التكليف، التعارض، أدوات القياس، المعايرة، والقرار.</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M05</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التهيئة والالتزامات</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الإقرارات، خط الأساس، خطة التطوير، والجدول.</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M06</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رحلة الزمالة</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المراحل، الحضور، المهام، الأدلة، والكفاءات.</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M07</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محطات الإعداد</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الأهداف، الحالة، البرنامج، المجموعة، المتطلبات، والتقرير.</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M08</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الإرشاد والتوجيه</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تعيين المرشد، الجلسات، الإجراءات، والتغذية الراجعة.</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M09</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مشروعات التحول</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التحديات، المواثيق، الفرق، المعالم، المخاطر، والمنافع.</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M10</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التخرج ومتابعة الأثر</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قواعد الإكمال، القرار، خطط النقل، ومراجعات 6 و12 شهرًا.</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M11</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اللوحات والتحليلات</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عرض تنفيذي وتشغيلي وشخصي مع إمكانية تتبع مصدر المؤشر.</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M12</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الوثائق والتواصل</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قوالب، إصدارات، تنبيهات، رسائل، ومحاضر.</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M13</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الحوكمة والتدقيق</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القرارات، الاستثناءات، سجل الوصول، وسجل زمني غير قابل للتعديل العادي.</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كلاهما</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M14</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الإدارة والتكوين</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الأدوار، الصلاحيات، القواميس، النماذج، وفترات الخدمة.</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الإنتاج أساسًا</w:t>
            </w:r>
          </w:p>
        </w:tc>
      </w:tr>
      <w:tr>
        <w:trPr>
          <w:cantSplit/>
        </w:trPr>
        <w:tc>
          <w:tcPr>
            <w:tcW w:type="dxa" w:w="8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M15</w:t>
            </w:r>
          </w:p>
        </w:tc>
        <w:tc>
          <w:tcPr>
            <w:tcW w:type="dxa" w:w="22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التكاملات</w:t>
            </w:r>
          </w:p>
        </w:tc>
        <w:tc>
          <w:tcPr>
            <w:tcW w:type="dxa" w:w="5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الهوية، الموارد البشرية، البريد، التقويم، إدارة الوثائق، وSIEM.</w:t>
            </w:r>
          </w:p>
        </w:tc>
        <w:tc>
          <w:tcPr>
            <w:tcW w:type="dxa" w:w="16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5"/>
                <w:rtl/>
              </w:rPr>
              <w:t>الإنتاج</w:t>
            </w:r>
          </w:p>
        </w:tc>
      </w:tr>
      <w:tr>
        <w:trPr>
          <w:cantSplit/>
        </w:trPr>
        <w:tc>
          <w:tcPr>
            <w:tcW w:type="dxa" w:w="8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M16</w:t>
            </w:r>
          </w:p>
        </w:tc>
        <w:tc>
          <w:tcPr>
            <w:tcW w:type="dxa" w:w="22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محرك العرض التجريبي</w:t>
            </w:r>
          </w:p>
        </w:tc>
        <w:tc>
          <w:tcPr>
            <w:tcW w:type="dxa" w:w="5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تبديل الأدوار، إعادة ضبط البيانات، قصة حالة اصطناعية، ولقطات قرار.</w:t>
            </w:r>
          </w:p>
        </w:tc>
        <w:tc>
          <w:tcPr>
            <w:tcW w:type="dxa" w:w="16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5"/>
                <w:rtl/>
              </w:rPr>
              <w:t>العرض فقط</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5.2 جرد الشاشات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800"/>
        <w:gridCol w:w="2600"/>
        <w:gridCol w:w="2400"/>
        <w:gridCol w:w="4520"/>
      </w:tblGrid>
      <w:tr>
        <w:trPr>
          <w:tblHeader w:val="true"/>
          <w:cantSplit/>
        </w:trPr>
        <w:tc>
          <w:tcPr>
            <w:tcW w:type="dxa" w:w="8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الرمز</w:t>
            </w:r>
          </w:p>
        </w:tc>
        <w:tc>
          <w:tcPr>
            <w:tcW w:type="dxa" w:w="26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الشاشة</w:t>
            </w:r>
          </w:p>
        </w:tc>
        <w:tc>
          <w:tcPr>
            <w:tcW w:type="dxa" w:w="24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الجمهور</w:t>
            </w:r>
          </w:p>
        </w:tc>
        <w:tc>
          <w:tcPr>
            <w:tcW w:type="dxa" w:w="45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الغرض</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S01</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صفحة الدخول / تعريف النموذج</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الجميع</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حالة النموذج، اللغة، ومسار الدخول.</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S02</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الصفحة الرئيسية حسب الدور</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الجميع</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المهام والقرارات والتنبيهات المخصصة.</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S03</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نظرة تنفيذية</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الراعي / اللجنة</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القيمة، صحة الدفعة، المخاطر، والقرارات المطلوبة.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S04</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تعريف سَمْت</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الجميع</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القصة والركائز والفرق عن التدريب التقليدي.</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S05</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هيكل البرنامج</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الجميع</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المراحل والمحطات والمخرجات ومعايير الإكمال.</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S06</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قائمة الدفعات</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مكتب البرنامج</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إنشاء الدفعات ومقارنتها وإغلاقها.</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S07</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إعدادات الدفعة</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مكتب البرنامج</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القواعد والجدول والطاقة الاستيعابية والإصدار.</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S08</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نموذج الترشيح</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المدير / الموظف</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المبررات والأدلة والإقرارات.</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S09</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صف انتظار الأهلية</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مراجع الأهلية</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الفرز والاستكمال والقرار المسبب.</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S10</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ملف المرشح</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مخولون</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عرض موحد للمعلومات والأدلة والحالة.</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S11</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مهام المقيم</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المقيم</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التكليفات والتعارض والمواعيد.</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S12</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نموذج التقييم</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المقيم</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المعايير والدرجات والمبررات والحفظ.</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S13</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معايرة التقييم</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رئيس اللجنة</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الفروق والاكتمال دون طمس الاستقلالية.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S14</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لوحة الاختيار</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اللجنة</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القائمة المختصرة والقدرة والقرار وسجل السبب.</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S15</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قائمة الانتظار والاحتياط</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مكتب البرنامج</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الترتيب والتفعيل والانسحاب.</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S16</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التهيئة</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الزميل / المكتب</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الإقرارات وخط الأساس والجدول.</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S17</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رحلتي</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الزميل</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التقدم والمهام والأدلة والتغذية الراجعة.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S18</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تقويم البرنامج</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المخولون</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الجلسات والمحطات والمواعيد والتعارضات.</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S19</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الحضور والاستثناءات</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المكتب</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تسجيل الحضور والتبريرات والمعالجة.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S20</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محطة إعداد</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الزميل / المكتب</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الأهداف والبرنامج والمتطلبات والتقرير.</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S21</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مساحة المرشد</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المرشد</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الزملاء والجلسات والإجراءات.</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S22</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 المشروع</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الفريق / الراعي</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الميثاق والمعالم والمخاطر والقرارات والأدلة.</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S23</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لوحة محفظة المشروعات</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التنفيذي / المكتب</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التقدم والمنفعة والعوائق والقرارات.</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S24</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التخرج</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اللجنة / المكتب</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قواعد الإكمال وقرار الحالة.</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S25</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مراجعة الأثر</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الزميل / المدير / الراعي</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استخدام التعلم والمنفعة والأدلة.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S26</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مركز الوثائق</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المخولون</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القوالب والإصدارات والمخرجات.</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S27</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سجل القرارات والاستثناءات</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الحوكمة</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من قرر، ولماذا، وبأي سلطة.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S28</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 التدقيق</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التدقيق</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خط زمني قابل للبحث ومصدر كل قيمة.</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S29</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إدارة المستخدمين والأدوار</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التقني</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التعيين والمراجعة والإلغاء.</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S30</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إعدادات اللغة والمصطلحات</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المحتوى</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تكافؤ العربية والإنجليزية.</w:t>
            </w:r>
          </w:p>
        </w:tc>
      </w:tr>
      <w:tr>
        <w:trPr>
          <w:cantSplit/>
        </w:trPr>
        <w:tc>
          <w:tcPr>
            <w:tcW w:type="dxa" w:w="8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S31</w:t>
            </w:r>
          </w:p>
        </w:tc>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مركز التنبيهات</w:t>
            </w:r>
          </w:p>
        </w:tc>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الجميع</w:t>
            </w:r>
          </w:p>
        </w:tc>
        <w:tc>
          <w:tcPr>
            <w:tcW w:type="dxa" w:w="45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الرسائل، حالة القراءة، والإجراءات المرتبطة.</w:t>
            </w:r>
          </w:p>
        </w:tc>
      </w:tr>
      <w:tr>
        <w:trPr>
          <w:cantSplit/>
        </w:trPr>
        <w:tc>
          <w:tcPr>
            <w:tcW w:type="dxa" w:w="8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S32</w:t>
            </w:r>
          </w:p>
        </w:tc>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لوحة العرض التجريبي</w:t>
            </w:r>
          </w:p>
        </w:tc>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المُقدّم</w:t>
            </w:r>
          </w:p>
        </w:tc>
        <w:tc>
          <w:tcPr>
            <w:tcW w:type="dxa" w:w="45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تبديل الدور، إعادة الضبط، وتشغيل القصة.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5.3 توجيه تجربة المستخدم والهوية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الحفاظ على هوية SAMT 4.0 البحرية والذهبية والفضية، مع تقليل الزخرفة عندما تتعامل الشاشة مع قرار أو بيانات.</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الإبقاء على «قصة سَمْت» كمدخل اختياري مؤثر، وعدم فرضها على المستخدم العائد بعد تسجيل الدخول.</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إظهار الركائز الثلاث في الصفحة التنفيذية وربط كل كفاءة ومشروع ومؤشر بركيزة أو أكثر.</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استخدام الزجاجيات والحركة في بطاقات العرض العليا فقط؛ والجداول والنماذج بخلفية مستقرة عالية الوضوح.</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زر أساسي واحد واضح في كل حالة، مع إظهار سبب التعطيل والخطوة التالية والمالك.</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إظهار شارة «نموذج توضيحي ببيانات اصطناعية» دائمًا في النسخة العامة التجريبية.</w:t>
      </w:r>
    </w:p>
    <w:p>
      <w:pPr>
        <w:pStyle w:val="Heading1"/>
        <w:keepNext/>
        <w:keepLines w:val="0"/>
        <w:bidi/>
        <w:spacing w:before="300" w:after="140" w:line="240" w:lineRule="auto"/>
        <w:jc w:val="right"/>
      </w:pPr>
      <w:r>
        <w:rPr>
          <w:rFonts w:ascii="Arial" w:hAnsi="Arial" w:eastAsia="Arial" w:cs="Arial"/>
          <w:b/>
          <w:i w:val="0"/>
          <w:color w:val="0A1C2B"/>
          <w:sz w:val="31"/>
          <w:rtl/>
        </w:rPr>
        <w:t>6. البيانات والسجلات</w:t>
      </w:r>
    </w:p>
    <w:p>
      <w:pPr>
        <w:pStyle w:val="Heading2"/>
        <w:keepNext/>
        <w:keepLines w:val="0"/>
        <w:bidi/>
        <w:spacing w:before="200" w:after="100" w:line="240" w:lineRule="auto"/>
        <w:jc w:val="right"/>
      </w:pPr>
      <w:r>
        <w:rPr>
          <w:rFonts w:ascii="Arial" w:hAnsi="Arial" w:eastAsia="Arial" w:cs="Arial"/>
          <w:b/>
          <w:i w:val="0"/>
          <w:color w:val="17364A"/>
          <w:sz w:val="25"/>
          <w:rtl/>
        </w:rPr>
        <w:t>6.1 الكيانات الأساسية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200"/>
        <w:gridCol w:w="4800"/>
        <w:gridCol w:w="1600"/>
        <w:gridCol w:w="1720"/>
      </w:tblGrid>
      <w:tr>
        <w:trPr>
          <w:tblHeader w:val="true"/>
          <w:cantSplit/>
        </w:trPr>
        <w:tc>
          <w:tcPr>
            <w:tcW w:type="dxa" w:w="2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الكيان</w:t>
            </w:r>
          </w:p>
        </w:tc>
        <w:tc>
          <w:tcPr>
            <w:tcW w:type="dxa" w:w="48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الغرض</w:t>
            </w:r>
          </w:p>
        </w:tc>
        <w:tc>
          <w:tcPr>
            <w:tcW w:type="dxa" w:w="16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الحساسية المبدئية</w:t>
            </w:r>
          </w:p>
        </w:tc>
        <w:tc>
          <w:tcPr>
            <w:tcW w:type="dxa" w:w="17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المالك المقترح</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المستخدم والهوية</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معرف مؤسسي ودور وحالة وصول؛ لا تكرار لبيانات HR بلا حاجة.</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حساس</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الهوية / الموارد البشرية</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الدور والصلاحية</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الدور، نطاقه، مصدر التكليف، البداية والنهاية والمراجعة.</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داخلي</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النظام</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الدفعة</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المعايير والجدول والطاقة والإصدار والحالة.</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داخلي</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مكتب البرنامج</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الترشيح</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المبررات والأدلة والإقرارات والتاريخ والحالة.</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حساس</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مكتب البرنامج / HR</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قرار الأهلية</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القاعدة والنتيجة والسبب والاستثناء والمراجع.</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حساس</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HR / الحوكمة</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التقييم</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الأداة والدرجة والمبرر والإصدار والمقيم.</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شديد الحساسية</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التقييم</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قرار الاختيار</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الحالة والسبب والسلطة والمحضر.</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شديد الحساسية</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اللجنة</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الزميل وخطة التطوير</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خط الأساس والأهداف والمهام والتغذية الراجعة.</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حساس</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مكتب البرنامج</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المحطة</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الحالة والمضيف والأهداف والجدول والمتطلبات والتقرير.</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داخلي</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مكتب البرنامج</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الإرشاد</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العلاقة والجلسات والإجراءات دون محتوى زائد.</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حساس</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الإرشاد</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التحدي والمشروع</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المشكلة والميثاق والمعالم والمخاطر والقرارات.</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قد يكون حساسًا</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مالك التحدي</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المنفعة</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الخط الأساس والهدف وطريقة القياس والدليل والحالة.</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داخلي / حساس</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المنفعة</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الوثيقة والإصدار</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النوع والمالك والتصنيف والإصدار والمراجعات.</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حسب المحتوى</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مالك الوثيقة</w:t>
            </w:r>
          </w:p>
        </w:tc>
      </w:tr>
      <w:tr>
        <w:trPr>
          <w:cantSplit/>
        </w:trPr>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التنبيه</w:t>
            </w:r>
          </w:p>
        </w:tc>
        <w:tc>
          <w:tcPr>
            <w:tcW w:type="dxa" w:w="4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الحدث والمستلم والحالة والرابط؛ بلا محتوى حساس زائد.</w:t>
            </w:r>
          </w:p>
        </w:tc>
        <w:tc>
          <w:tcPr>
            <w:tcW w:type="dxa" w:w="1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داخلي</w:t>
            </w:r>
          </w:p>
        </w:tc>
        <w:tc>
          <w:tcPr>
            <w:tcW w:type="dxa" w:w="17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النظام</w:t>
            </w:r>
          </w:p>
        </w:tc>
      </w:tr>
      <w:tr>
        <w:trPr>
          <w:cantSplit/>
        </w:trPr>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حدث التدقيق</w:t>
            </w:r>
          </w:p>
        </w:tc>
        <w:tc>
          <w:tcPr>
            <w:tcW w:type="dxa" w:w="4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من، ماذا، متى، من أين، النتيجة، والارتباط.</w:t>
            </w:r>
          </w:p>
        </w:tc>
        <w:tc>
          <w:tcPr>
            <w:tcW w:type="dxa" w:w="1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شديد الحساسية</w:t>
            </w:r>
          </w:p>
        </w:tc>
        <w:tc>
          <w:tcPr>
            <w:tcW w:type="dxa" w:w="17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الأمن / التدقيق</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6.2 قواعد جودة البيانات</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كل حقل حرج يملك تعريفًا ونوعًا وقاعدة تحقق ومصدرًا ومالكًا.</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تُحسب المؤشرات من نصوص حرة إذا أمكن استخدام قيمة منظمة مع مبرر.</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لا يُستبدل السجل السابق عند التصحيح؛ يُنشأ إصدار ويُحفظ السبب والسلطة.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تُعرض القيم غير المتاحة كـ«غير متاح» لا كصفر، وتُميز القيم التقديرية.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تُقاس نسبة اكتمال وجودة البيانات وتظهر لمكتب البرنامج قبل أي تقرير تنفيذي.</w:t>
      </w:r>
    </w:p>
    <w:p>
      <w:pPr>
        <w:pStyle w:val="Heading2"/>
        <w:keepNext/>
        <w:keepLines w:val="0"/>
        <w:bidi/>
        <w:spacing w:before="200" w:after="100" w:line="240" w:lineRule="auto"/>
        <w:jc w:val="right"/>
      </w:pPr>
      <w:r>
        <w:rPr>
          <w:rFonts w:ascii="Arial" w:hAnsi="Arial" w:eastAsia="Arial" w:cs="Arial"/>
          <w:b/>
          <w:i w:val="0"/>
          <w:color w:val="17364A"/>
          <w:sz w:val="25"/>
          <w:rtl/>
        </w:rPr>
        <w:t>6.3 الاحتفاظ والحذف</w:t>
      </w:r>
    </w:p>
    <w:tbl>
      <w:tblPr>
        <w:tblW w:type="dxa" w:w="10320"/>
        <w:jc w:val="center"/>
        <w:tblLayout w:type="fixed"/>
        <w:tblLook w:firstColumn="1" w:firstRow="1" w:lastColumn="0" w:lastRow="0" w:noHBand="0" w:noVBand="1" w:val="04A0"/>
        <w:tblInd w:w="120" w:type="dxa"/>
        <w:bidiVisual/>
        <w:tblBorders>
          <w:top w:val="single" w:sz="7" w:space="0" w:color="8B2E2E"/>
          <w:start w:val="single" w:sz="7" w:space="0" w:color="8B2E2E"/>
          <w:bottom w:val="single" w:sz="7" w:space="0" w:color="8B2E2E"/>
          <w:end w:val="single" w:sz="7" w:space="0" w:color="8B2E2E"/>
        </w:tblBorders>
      </w:tblPr>
      <w:tblGrid>
        <w:gridCol w:w="10320"/>
      </w:tblGrid>
      <w:tr>
        <w:tc>
          <w:tcPr>
            <w:tcW w:type="dxa" w:w="10320"/>
            <w:tcMar>
              <w:top w:w="55" w:type="dxa"/>
              <w:start w:w="120" w:type="dxa"/>
              <w:bottom w:w="55" w:type="dxa"/>
              <w:end w:w="120" w:type="dxa"/>
            </w:tcMar>
            <w:vAlign w:val="center"/>
            <w:shd w:fill="FCEBEC" w:val="clear"/>
          </w:tcPr>
          <w:p>
            <w:pPr>
              <w:keepNext w:val="0"/>
              <w:keepLines/>
              <w:bidi/>
              <w:spacing w:before="0" w:after="40" w:line="259" w:lineRule="auto"/>
              <w:jc w:val="right"/>
            </w:pPr>
            <w:r>
              <w:rPr>
                <w:rFonts w:ascii="Arial" w:hAnsi="Arial" w:eastAsia="Arial" w:cs="Arial"/>
                <w:b/>
                <w:i w:val="0"/>
                <w:color w:val="8B2E2E"/>
                <w:sz w:val="18"/>
                <w:rtl/>
              </w:rPr>
              <w:t xml:space="preserve">قرار مطلوب:  </w:t>
            </w:r>
            <w:r>
              <w:rPr>
                <w:rFonts w:ascii="Arial" w:hAnsi="Arial" w:eastAsia="Arial" w:cs="Arial"/>
                <w:b w:val="0"/>
                <w:i w:val="0"/>
                <w:color w:val="1D2730"/>
                <w:sz w:val="17"/>
                <w:rtl/>
              </w:rPr>
              <w:t>لا يحدد هذا المخطط مدة احتفاظ افتراضية. يجب أن تعتمد الجهة المختصة جدولًا لكل كيان يراعي الغرض، وسجلات الموارد البشرية، والتدقيق، والتظلمات، وحماية البيانات، والتصنيف. وتنفذ المنصة الإيقاف القانوني للحذف عند وجود تحقيق أو التزام.</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7. اللوحات والمؤشرات وتحقيق المنافع</w:t>
      </w:r>
    </w:p>
    <w:p>
      <w:pPr>
        <w:pStyle w:val="Heading2"/>
        <w:keepNext/>
        <w:keepLines w:val="0"/>
        <w:bidi/>
        <w:spacing w:before="200" w:after="100" w:line="240" w:lineRule="auto"/>
        <w:jc w:val="right"/>
      </w:pPr>
      <w:r>
        <w:rPr>
          <w:rFonts w:ascii="Arial" w:hAnsi="Arial" w:eastAsia="Arial" w:cs="Arial"/>
          <w:b/>
          <w:i w:val="0"/>
          <w:color w:val="17364A"/>
          <w:sz w:val="25"/>
          <w:rtl/>
        </w:rPr>
        <w:t>7.1 لوحات حسب الدور</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700"/>
        <w:gridCol w:w="4550"/>
        <w:gridCol w:w="2650"/>
        <w:gridCol w:w="1420"/>
      </w:tblGrid>
      <w:tr>
        <w:trPr>
          <w:tblHeader w:val="true"/>
          <w:cantSplit/>
        </w:trPr>
        <w:tc>
          <w:tcPr>
            <w:tcW w:type="dxa" w:w="17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اللوحة</w:t>
            </w:r>
          </w:p>
        </w:tc>
        <w:tc>
          <w:tcPr>
            <w:tcW w:type="dxa" w:w="45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ما تجيب عنه</w:t>
            </w:r>
          </w:p>
        </w:tc>
        <w:tc>
          <w:tcPr>
            <w:tcW w:type="dxa" w:w="2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مستوى التفصيل</w:t>
            </w:r>
          </w:p>
        </w:tc>
        <w:tc>
          <w:tcPr>
            <w:tcW w:type="dxa" w:w="14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التحديث</w:t>
            </w:r>
          </w:p>
        </w:tc>
      </w:tr>
      <w:tr>
        <w:trPr>
          <w:cantSplit/>
        </w:trPr>
        <w:tc>
          <w:tcPr>
            <w:tcW w:type="dxa" w:w="17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التنفيذي</w:t>
            </w:r>
          </w:p>
        </w:tc>
        <w:tc>
          <w:tcPr>
            <w:tcW w:type="dxa" w:w="4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صحة الدفعة؛ بوابات القرار؛ المشروعات؛ المخاطر؛ المنافع المتوقعة والمثبتة.</w:t>
            </w:r>
          </w:p>
        </w:tc>
        <w:tc>
          <w:tcPr>
            <w:tcW w:type="dxa" w:w="2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مجمّع مع إمكان النزول إلى دليل مخول.</w:t>
            </w:r>
          </w:p>
        </w:tc>
        <w:tc>
          <w:tcPr>
            <w:tcW w:type="dxa" w:w="14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أسبوعي / عند القرار</w:t>
            </w:r>
          </w:p>
        </w:tc>
      </w:tr>
      <w:tr>
        <w:trPr>
          <w:cantSplit/>
        </w:trPr>
        <w:tc>
          <w:tcPr>
            <w:tcW w:type="dxa" w:w="17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مكتب البرنامج</w:t>
            </w:r>
          </w:p>
        </w:tc>
        <w:tc>
          <w:tcPr>
            <w:tcW w:type="dxa" w:w="4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القمع من الترشيح إلى الاختيار؛ مدد المعالجة؛ المتأخرات؛ الحضور؛ المهام؛ الاستثناءات.</w:t>
            </w:r>
          </w:p>
        </w:tc>
        <w:tc>
          <w:tcPr>
            <w:tcW w:type="dxa" w:w="2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تشغيلي على مستوى الحالة.</w:t>
            </w:r>
          </w:p>
        </w:tc>
        <w:tc>
          <w:tcPr>
            <w:tcW w:type="dxa" w:w="14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يومي</w:t>
            </w:r>
          </w:p>
        </w:tc>
      </w:tr>
      <w:tr>
        <w:trPr>
          <w:cantSplit/>
        </w:trPr>
        <w:tc>
          <w:tcPr>
            <w:tcW w:type="dxa" w:w="17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المقيم</w:t>
            </w:r>
          </w:p>
        </w:tc>
        <w:tc>
          <w:tcPr>
            <w:tcW w:type="dxa" w:w="4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التكليفات؛ اكتمال الملفات؛ التعارضات؛ الوقت المتبقي؛ حالة الإرسال.</w:t>
            </w:r>
          </w:p>
        </w:tc>
        <w:tc>
          <w:tcPr>
            <w:tcW w:type="dxa" w:w="2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حالاته المكلّف بها فقط.</w:t>
            </w:r>
          </w:p>
        </w:tc>
        <w:tc>
          <w:tcPr>
            <w:tcW w:type="dxa" w:w="14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فوري</w:t>
            </w:r>
          </w:p>
        </w:tc>
      </w:tr>
      <w:tr>
        <w:trPr>
          <w:cantSplit/>
        </w:trPr>
        <w:tc>
          <w:tcPr>
            <w:tcW w:type="dxa" w:w="17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الزميل</w:t>
            </w:r>
          </w:p>
        </w:tc>
        <w:tc>
          <w:tcPr>
            <w:tcW w:type="dxa" w:w="4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نسبة التقدم؛ المواعيد؛ المهام؛ الأدلة؛ خطة التطوير؛ جلسات الإرشاد.</w:t>
            </w:r>
          </w:p>
        </w:tc>
        <w:tc>
          <w:tcPr>
            <w:tcW w:type="dxa" w:w="2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ملفه فقط.</w:t>
            </w:r>
          </w:p>
        </w:tc>
        <w:tc>
          <w:tcPr>
            <w:tcW w:type="dxa" w:w="14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فوري</w:t>
            </w:r>
          </w:p>
        </w:tc>
      </w:tr>
      <w:tr>
        <w:trPr>
          <w:cantSplit/>
        </w:trPr>
        <w:tc>
          <w:tcPr>
            <w:tcW w:type="dxa" w:w="17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المدير</w:t>
            </w:r>
          </w:p>
        </w:tc>
        <w:tc>
          <w:tcPr>
            <w:tcW w:type="dxa" w:w="4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حالة الترشيح؛ التزامات الوقت؛ تقدم الزميل؛ إجراءات نقل التعلم؛ مراجعة الأثر.</w:t>
            </w:r>
          </w:p>
        </w:tc>
        <w:tc>
          <w:tcPr>
            <w:tcW w:type="dxa" w:w="2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موظفوه فقط.</w:t>
            </w:r>
          </w:p>
        </w:tc>
        <w:tc>
          <w:tcPr>
            <w:tcW w:type="dxa" w:w="14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حسب الحدث</w:t>
            </w:r>
          </w:p>
        </w:tc>
      </w:tr>
      <w:tr>
        <w:trPr>
          <w:cantSplit/>
        </w:trPr>
        <w:tc>
          <w:tcPr>
            <w:tcW w:type="dxa" w:w="17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راعي المشروع</w:t>
            </w:r>
          </w:p>
        </w:tc>
        <w:tc>
          <w:tcPr>
            <w:tcW w:type="dxa" w:w="45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المعالم؛ المخاطر؛ القرارات؛ جودة الأدلة؛ حالة تحقق المنفعة.</w:t>
            </w:r>
          </w:p>
        </w:tc>
        <w:tc>
          <w:tcPr>
            <w:tcW w:type="dxa" w:w="2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المشروع المرتبط به.</w:t>
            </w:r>
          </w:p>
        </w:tc>
        <w:tc>
          <w:tcPr>
            <w:tcW w:type="dxa" w:w="14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أسبوعي</w:t>
            </w:r>
          </w:p>
        </w:tc>
      </w:tr>
      <w:tr>
        <w:trPr>
          <w:cantSplit/>
        </w:trPr>
        <w:tc>
          <w:tcPr>
            <w:tcW w:type="dxa" w:w="17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الحوكمة والتدقيق</w:t>
            </w:r>
          </w:p>
        </w:tc>
        <w:tc>
          <w:tcPr>
            <w:tcW w:type="dxa" w:w="45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الاستثناءات؛ تغييرات الدرجات؛ التجاوزات؛ الوصول المميز؛ الصادرات.</w:t>
            </w:r>
          </w:p>
        </w:tc>
        <w:tc>
          <w:tcPr>
            <w:tcW w:type="dxa" w:w="2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قراءة محكومة مع أثر وصول.</w:t>
            </w:r>
          </w:p>
        </w:tc>
        <w:tc>
          <w:tcPr>
            <w:tcW w:type="dxa" w:w="14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حسب الحاجة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7.2 قاموس المؤشرات الأولي</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900"/>
        <w:gridCol w:w="5320"/>
        <w:gridCol w:w="1900"/>
        <w:gridCol w:w="2200"/>
      </w:tblGrid>
      <w:tr>
        <w:trPr>
          <w:tblHeader w:val="true"/>
          <w:cantSplit/>
        </w:trPr>
        <w:tc>
          <w:tcPr>
            <w:tcW w:type="dxa" w:w="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الرمز</w:t>
            </w:r>
          </w:p>
        </w:tc>
        <w:tc>
          <w:tcPr>
            <w:tcW w:type="dxa" w:w="53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المؤشر والتعريف</w:t>
            </w:r>
          </w:p>
        </w:tc>
        <w:tc>
          <w:tcPr>
            <w:tcW w:type="dxa" w:w="1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المصدر</w:t>
            </w:r>
          </w:p>
        </w:tc>
        <w:tc>
          <w:tcPr>
            <w:tcW w:type="dxa" w:w="2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المالك / التكرار</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KPI-01</w:t>
            </w:r>
          </w:p>
        </w:tc>
        <w:tc>
          <w:tcPr>
            <w:tcW w:type="dxa" w:w="5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اكتمال الترشيحات — الترشيحات المكتملة ÷ الترشيحات المرسلة.</w:t>
            </w:r>
          </w:p>
        </w:tc>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نظام الترشيح</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مكتب البرنامج / أسبوعي</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KPI-02</w:t>
            </w:r>
          </w:p>
        </w:tc>
        <w:tc>
          <w:tcPr>
            <w:tcW w:type="dxa" w:w="5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زمن التحقق من الأهلية — الوسيط وP95 من الإرسال حتى قرار الأهلية.</w:t>
            </w:r>
          </w:p>
        </w:tc>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 الحالات</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مراجع الأهلية / أسبوعي</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KPI-03</w:t>
            </w:r>
          </w:p>
        </w:tc>
        <w:tc>
          <w:tcPr>
            <w:tcW w:type="dxa" w:w="5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اكتمال التقييم في الموعد — التقييمات المقفلة قبل الموعد ÷ المكلف بها.</w:t>
            </w:r>
          </w:p>
        </w:tc>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نظام التقييم</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رئيس اللجنة / دورة الاختيار</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KPI-04</w:t>
            </w:r>
          </w:p>
        </w:tc>
        <w:tc>
          <w:tcPr>
            <w:tcW w:type="dxa" w:w="5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سلامة الاختيار — نسبة الملفات ذات قرار مسبب وتعارض مصالح مكتمل واعتماد صحيح.</w:t>
            </w:r>
          </w:p>
        </w:tc>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 القرار</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الحوكمة / كل دفعة</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KPI-05</w:t>
            </w:r>
          </w:p>
        </w:tc>
        <w:tc>
          <w:tcPr>
            <w:tcW w:type="dxa" w:w="5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الحضور والالتزام — الحضور والمهام المكتملة ضمن قواعد البرنامج.</w:t>
            </w:r>
          </w:p>
        </w:tc>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التقويم والمهام</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مكتب البرنامج / أسبوعي</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KPI-06</w:t>
            </w:r>
          </w:p>
        </w:tc>
        <w:tc>
          <w:tcPr>
            <w:tcW w:type="dxa" w:w="5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تطور الكفاءة — الفرق بين خط الأساس والتقييم الختامي حسب الكفاءة؛ ليس ادعاءً سببيًا منفردًا.</w:t>
            </w:r>
          </w:p>
        </w:tc>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أداة الكفاءات</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التقييم / نهاية البرنامج</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KPI-07</w:t>
            </w:r>
          </w:p>
        </w:tc>
        <w:tc>
          <w:tcPr>
            <w:tcW w:type="dxa" w:w="5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جودة المشروع — نتيجة مراجعة الميثاق والمخرج وقابلية التطبيق وفق أداة معتمدة.</w:t>
            </w:r>
          </w:p>
        </w:tc>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بوابات المشروع</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راعي المشروع / كل بوابة</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KPI-08</w:t>
            </w:r>
          </w:p>
        </w:tc>
        <w:tc>
          <w:tcPr>
            <w:tcW w:type="dxa" w:w="5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تحقق المنفعة — منفعة أكدها مالكها بدليل، مع تمييز المتوقع والمتحقق.</w:t>
            </w:r>
          </w:p>
        </w:tc>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سجل المنافع</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المنفعة / 6 و12 شهرًا</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KPI-09</w:t>
            </w:r>
          </w:p>
        </w:tc>
        <w:tc>
          <w:tcPr>
            <w:tcW w:type="dxa" w:w="5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نقل التعلم — إجراءات خطة التطبيق المكتملة والمثبتة في بيئة العمل.</w:t>
            </w:r>
          </w:p>
        </w:tc>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مراجعة الأثر</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المدير / 6 و12 شهرًا</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KPI-10</w:t>
            </w:r>
          </w:p>
        </w:tc>
        <w:tc>
          <w:tcPr>
            <w:tcW w:type="dxa" w:w="5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الرضا القابل للتصرف — تغذية راجعة مرتبطة بإجراءات تحسين، لا متوسط رضا مجرد.</w:t>
            </w:r>
          </w:p>
        </w:tc>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الاستبيانات والإجراءات</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مكتب البرنامج / كل مرحلة</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KPI-11</w:t>
            </w:r>
          </w:p>
        </w:tc>
        <w:tc>
          <w:tcPr>
            <w:tcW w:type="dxa" w:w="5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الاستثناءات المفتوحة — عدد وعمر الاستثناءات حسب الخطورة والمالك.</w:t>
            </w:r>
          </w:p>
        </w:tc>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سجل الاستثناء</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الحوكمة / أسبوعي</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KPI-12</w:t>
            </w:r>
          </w:p>
        </w:tc>
        <w:tc>
          <w:tcPr>
            <w:tcW w:type="dxa" w:w="5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جودة البيانات — اكتمال الحقول الحرجة والتطابق والتكرار والأخطاء.</w:t>
            </w:r>
          </w:p>
        </w:tc>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قواعد الجودة</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مالك البيانات / أسبوعي</w:t>
            </w:r>
          </w:p>
        </w:tc>
      </w:tr>
    </w:tbl>
    <w:p>
      <w:pPr>
        <w:keepNext w:val="0"/>
        <w:keepLines w:val="0"/>
        <w:bidi/>
        <w:spacing w:before="0" w:after="20" w:line="247" w:lineRule="auto"/>
        <w:jc w:val="right"/>
      </w:pPr>
    </w:p>
    <w:p>
      <w:pPr>
        <w:pStyle w:val="SAMTNote"/>
        <w:keepNext w:val="0"/>
        <w:keepLines w:val="0"/>
        <w:bidi/>
        <w:spacing w:before="0" w:after="80" w:line="252" w:lineRule="auto"/>
        <w:jc w:val="right"/>
      </w:pPr>
      <w:r>
        <w:rPr>
          <w:rFonts w:ascii="Arial" w:hAnsi="Arial" w:eastAsia="Arial" w:cs="Arial"/>
          <w:b w:val="0"/>
          <w:i/>
          <w:color w:val="5F6B75"/>
          <w:sz w:val="16"/>
          <w:rtl/>
        </w:rPr>
        <w:t>لا تتضمن هذه النسخة أهدافًا رقمية نهائية؛ تُعتمد الأهداف بعد خط أساس. ويجب أن يستطيع المستخدم المخول فتح تعريف أي مؤشر ومعرفة البسط والمقام والمرشحات وتاريخ التحديث.</w:t>
      </w:r>
    </w:p>
    <w:p>
      <w:pPr>
        <w:pStyle w:val="Heading2"/>
        <w:keepNext/>
        <w:keepLines w:val="0"/>
        <w:bidi/>
        <w:spacing w:before="200" w:after="100" w:line="240" w:lineRule="auto"/>
        <w:jc w:val="right"/>
      </w:pPr>
      <w:r>
        <w:rPr>
          <w:rFonts w:ascii="Arial" w:hAnsi="Arial" w:eastAsia="Arial" w:cs="Arial"/>
          <w:b/>
          <w:i w:val="0"/>
          <w:color w:val="17364A"/>
          <w:sz w:val="25"/>
          <w:rtl/>
        </w:rPr>
        <w:t>7.3 تمييز مستويات الدليل</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900"/>
        <w:gridCol w:w="5500"/>
        <w:gridCol w:w="2920"/>
      </w:tblGrid>
      <w:tr>
        <w:trPr>
          <w:tblHeader w:val="true"/>
          <w:cantSplit/>
        </w:trPr>
        <w:tc>
          <w:tcPr>
            <w:tcW w:type="dxa" w:w="1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الحالة</w:t>
            </w:r>
          </w:p>
        </w:tc>
        <w:tc>
          <w:tcPr>
            <w:tcW w:type="dxa" w:w="55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التعريف</w:t>
            </w:r>
          </w:p>
        </w:tc>
        <w:tc>
          <w:tcPr>
            <w:tcW w:type="dxa" w:w="29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طريقة العرض</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متوقع</w:t>
            </w:r>
          </w:p>
        </w:tc>
        <w:tc>
          <w:tcPr>
            <w:tcW w:type="dxa" w:w="5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منفعة أو نتيجة لم تتحقق بعد ولها افتراض وطريقة قياس.</w:t>
            </w:r>
          </w:p>
        </w:tc>
        <w:tc>
          <w:tcPr>
            <w:tcW w:type="dxa" w:w="2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لون محايد ولا تجمع مع المتحقق.</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قيد القياس</w:t>
            </w:r>
          </w:p>
        </w:tc>
        <w:tc>
          <w:tcPr>
            <w:tcW w:type="dxa" w:w="5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بدأ التنفيذ لكن نافذة القياس لم تكتمل.</w:t>
            </w:r>
          </w:p>
        </w:tc>
        <w:tc>
          <w:tcPr>
            <w:tcW w:type="dxa" w:w="29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تاريخ القياس والمالك ظاهر.</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متحقق جزئيًا</w:t>
            </w:r>
          </w:p>
        </w:tc>
        <w:tc>
          <w:tcPr>
            <w:tcW w:type="dxa" w:w="5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يوجد دليل على جزء محدد من الهدف.</w:t>
            </w:r>
          </w:p>
        </w:tc>
        <w:tc>
          <w:tcPr>
            <w:tcW w:type="dxa" w:w="2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القيمة المحققة وحدود الدليل.</w:t>
            </w:r>
          </w:p>
        </w:tc>
      </w:tr>
      <w:tr>
        <w:trPr>
          <w:cantSplit/>
        </w:trPr>
        <w:tc>
          <w:tcPr>
            <w:tcW w:type="dxa" w:w="1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متحقق</w:t>
            </w:r>
          </w:p>
        </w:tc>
        <w:tc>
          <w:tcPr>
            <w:tcW w:type="dxa" w:w="55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أكد المالك القيمة وفق الطريقة المعتمدة.</w:t>
            </w:r>
          </w:p>
        </w:tc>
        <w:tc>
          <w:tcPr>
            <w:tcW w:type="dxa" w:w="29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المصدر والتاريخ والإصدار.</w:t>
            </w:r>
          </w:p>
        </w:tc>
      </w:tr>
      <w:tr>
        <w:trPr>
          <w:cantSplit/>
        </w:trPr>
        <w:tc>
          <w:tcPr>
            <w:tcW w:type="dxa" w:w="1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غير مثبت</w:t>
            </w:r>
          </w:p>
        </w:tc>
        <w:tc>
          <w:tcPr>
            <w:tcW w:type="dxa" w:w="55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لا يوجد دليل كافٍ أو لم تتحقق النتيجة.</w:t>
            </w:r>
          </w:p>
        </w:tc>
        <w:tc>
          <w:tcPr>
            <w:tcW w:type="dxa" w:w="2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سبب وخطوة لاحقة؛ لا تُخفى.</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8. المتطلبات الوظيفية القابلة للاختبار</w:t>
      </w:r>
    </w:p>
    <w:p>
      <w:pPr>
        <w:keepNext w:val="0"/>
        <w:keepLines w:val="0"/>
        <w:bidi/>
        <w:spacing w:before="0" w:after="110" w:line="269" w:lineRule="auto"/>
        <w:jc w:val="right"/>
      </w:pPr>
      <w:r>
        <w:rPr>
          <w:rFonts w:ascii="Arial" w:hAnsi="Arial" w:eastAsia="Arial" w:cs="Arial"/>
          <w:b w:val="0"/>
          <w:i w:val="0"/>
          <w:color w:val="1D2730"/>
          <w:sz w:val="18"/>
          <w:rtl/>
        </w:rPr>
        <w:t>تُستخدم المتطلبات التالية كأساس لسجل التتبع وقصص المستخدم والاختبارات. «يجب» شرط للإصدار المحدد، و«ينبغي» تحسين ذو أولوية يخضع للموازنة. لا يعني ذكر «الإنتاج» تنفيذ المتطلب في النموذج العام.</w:t>
      </w:r>
    </w:p>
    <w:p>
      <w:pPr>
        <w:pStyle w:val="Heading2"/>
        <w:keepNext/>
        <w:keepLines w:val="0"/>
        <w:bidi/>
        <w:spacing w:before="200" w:after="100" w:line="240" w:lineRule="auto"/>
        <w:jc w:val="right"/>
      </w:pPr>
      <w:r>
        <w:rPr>
          <w:rFonts w:ascii="Arial" w:hAnsi="Arial" w:eastAsia="Arial" w:cs="Arial"/>
          <w:b/>
          <w:i w:val="0"/>
          <w:color w:val="17364A"/>
          <w:sz w:val="25"/>
          <w:rtl/>
        </w:rPr>
        <w:t>البوابة والتجربة العامة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FR-001</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يعرض النظام صفحة داخلية توضح حالة البرنامج أو النموذج والجمهور المخول وسياسة الاستخدام.</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FR-002</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يوفر عربية كاملة من اليمين إلى اليسار وإنجليزية مكافئة، مع حفظ تفضيل اللغة.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FR-003</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يعرض لكل دور صفحة رئيسية وملاحة ومهامًا وقرارات متناسبة مع صلاحياته.</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FR-004</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يوفر بحثًا مرشحًا حسب الصلاحية في الحالات والوثائق والمشروعات والقرارات.</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FR-005</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يعرض تنبيهات قابلة للتنفيذ مرتبطة بالحالة والموعد والمسؤول.</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FR-006</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يعرض تاريخ الحالة ومصدر آخر تحديث دون كشف معلومات غير مصرح بها.</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إدارة البرنامج والدفعات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FR-010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ينشئ مكتب البرنامج دفعة ويحدد اسمها وحالتها وطاقة الاستيعاب وتواريخها.</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FR-011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يهيئ معايير الأهلية وأداة التقييم وقواعد الإكمال والمتابعة لكل دفعة.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FR-012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يصدر نسخة مرقمة من قواعد الدفعة ويمنع تغييرها بعد النشر إلا بتغيير مسبب ومعتمد.</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FR-013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يسجل حالة الجهات والمحطات: توضيحية، مقترحة، قيد التفاوض، أو مؤكدة.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FR-014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يدعم نسخ دفعة سابقة كنقطة بداية دون نسخ بيانات الأشخاص.</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الترشيح والأهلية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FR-020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ينشئ المدير ترشيحًا ويحفظه مسودة قبل الإرسال.</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FR-021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يراجع الموظف بياناته ويقر دقتها واستعداده للمشاركة قبل اكتمال الترشيح.</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FR-022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يتحقق النظام من الحقول الإلزامية والتكرار والموعد والطاقة وفق القواعد.</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FR-023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يتيح إرفاق الأدلة بإصدارات وتصنيف واضح ومصدر موثق.</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FR-024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يدعم الإرسال والاستكمال والسحب والإغلاق مع سبب وسجل زمني.</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FR-025</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يوجه الحالات المكتملة إلى صف أهلية مع توزيع واضح للمالك والمدة.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FR-026</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يسجل قرار الأهلية برمز سبب ومبرر وأدلة، مع مسار استكمال أو استثناء.</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FR-027</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يفصل صلاحية التحقق من الأهلية عن التقييم حيثما تقضي الحوكمة.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التقييم والاختيار</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FR-040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يعيّن المقيمين للحالات وفق قواعد العبء والتخصص وتعارض المصالح.</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FR-041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يفرض إقرار تعارض المصالح قبل فتح ملف التقييم.</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FR-042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يوفر أداة تقييم بإرشادات ومستويات وأوزان ومبرر لكل معيار.</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FR-043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يحفظ المقيم المسودة ويقفل التقييم عند الإرسال.</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FR-044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يحفظ كل تعديل بعد الإرسال كإصدار مسبب ومعتمد دون طمس الدرجة السابقة.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FR-045</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يدعم مقابلة منظمة ونماذج ملاحظات منفصلة عن الدردشة الحرة.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FR-046</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يعرض لرئيس اللجنة فروق التقييم والاكتمال لأغراض المعايرة وفق سياسة معتمدة.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FR-047</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يدعم التنحي وإعادة التكليف مع توثيق السبب.</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FR-048</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يُنشئ قائمة مختصرة دون إصدار قرار آلي ملزم.</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FR-049</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يسجل قرار الاختيار والاحتياط وعدم الاختيار والسبب والسلطة والتاريخ.</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FR-050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يمنع نشر نتيجة قبل اكتمال بوابة الاعتماد المحددة.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FR-051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يوفر مسار إعادة نظر إجرائي إذا اعتمدته السياسة، دون تعديل صامت.</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التهيئة ورحلة الزمالة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FR-060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يسجل قبول الزميل والتزام المدير بالوقت والمتطلبات المسبقة.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FR-061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يجمع خط أساس للكفاءات وخطة تطوير أولية بأداة معتمدة.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FR-062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يعرض رحلة زمنية موحدة للمراحل والمواعيد والمهام والمحطات.</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FR-063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يسجل الحضور والتأخر والغياب والتبرير والاستثناء.</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FR-064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يسند المهام ويقبل الأدلة ويحفظ الإصدار والتغذية الراجعة.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FR-065</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يتتبع الكفاءات المستهدفة دون اختزالها في درجة واحدة غير مفسرة.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FR-066</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يطبق قواعد الإكمال ويعرض أي نقص قبل بوابة التخرج.</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FR-067</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يسمح بتجميد أو تعليق المشاركة بقرار مسبب وخطة معالجة.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محطات الإعداد والإرشاد</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FR-080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يعرف لكل محطة أهدافًا وحالة اعتماد ومضيفًا وجدولًا ومتطلبات ومخرجات.</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FR-081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يميّز بوضوح بين محطة توضيحية ومقترحة ومؤكدة.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FR-082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ينشر مهام ما قبل المحطة وأثناءها وبعدها مع مواعيد وأدلة.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FR-083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يسجل الحضور وتقرير المحطة والتغذية الراجعة والدروس المستفادة.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FR-084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يقيّد وصول المضيف الخارجي أو يستبدله بقناة إدخال محكومة.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FR-090</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يعيّن مرشدًا للزميل مع مدة ومسؤوليات وحالة العلاقة.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FR-091</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يسجل الجلسات والإجراءات المتفق عليها دون فرض تدوين محتوى سري غير لازم.</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FR-092</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يرسل تذكيرات بالإجراءات ويعرض التقدم للمرشد والزميل فقط.</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مشروعات التحول</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FR-100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يسجل تحديًا مؤسسيًا بمالك ومشكلة وخط أساس ونطاق وقيود.</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FR-101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ينشئ ميثاق مشروع ويحدد الفريق والراعي والمخرجات والمعالم.</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FR-102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يتتبع المعالم والمهام والمخاطر والقضايا والقرارات والتبعيات.</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FR-103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يربط كل منفعة بمالك وخط أساس وطريقة قياس ودليل وحالة تحقق.</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FR-104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يفصل بين المنفعة المتوقعة والمتحققة ويتجنب جمع قيم غير متجانسة.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FR-105</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يدعم بوابات مراجعة للميثاق والمنتصف والمخرج والإغلاق.</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FR-106</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يحفظ وثائق المشروع بإصدارات ومراجعات وموافقات.</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FR-107</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يعرض محفظة المشروعات مع العوائق والقرارات المطلوبة.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التخرج ومتابعة الأثر</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FR-110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يحسب استيفاء قواعد التخرج ويعرض الأدلة والاستثناءات قبل القرار.</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FR-111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يسجل قرار التخرج أو الإكمال المشروط أو عدم الإكمال والسبب.</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FR-112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ينشئ شهادة أو خطاب إكمال فقط إذا اعتمدت الصيغة والسلطة.</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FR-113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ينشئ مراجعات أثر بعد 6 و12 شهرًا أو وفق الجدول المعتمد.</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FR-114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يجمع تحقق الزميل والمدير ومالك المنفعة مع تمييز مصادر الرأي.</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FR-115</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يربط نتيجة المتابعة بخطة تطوير لاحقة ودروس البرنامج.</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ينبغي</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الحوكمة والإدارة والعرض</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050"/>
        <w:gridCol w:w="6650"/>
        <w:gridCol w:w="1150"/>
        <w:gridCol w:w="1470"/>
      </w:tblGrid>
      <w:tr>
        <w:trPr>
          <w:tblHeader w:val="true"/>
          <w:cantSplit/>
        </w:trPr>
        <w:tc>
          <w:tcPr>
            <w:tcW w:type="dxa" w:w="10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6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c>
          <w:tcPr>
            <w:tcW w:type="dxa" w:w="14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المرحلة</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FR-120</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يوفر سجل قرارات يبين الموضوع والخيارات والقرار والسبب والسلطة والمرفقات.</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FR-121</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يوفر سجل استثناءات يبين المالك والخطورة والمدة وخطة الإغلاق.</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FR-122</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يسجل أحداث الإنشاء والعرض الحساس والتعديل والموافقة والتصدير.</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FR-123</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يمنع المستخدمين العاديين من حذف أو تعديل سجل التدقيق.</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FR-124</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يصدر تقارير محكومة تحمل تاريخًا ونطاقًا وتصنيفًا ومصدرًا.</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FR-130</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يدير مسؤول مخول الأدوار والقواميس والقوالب والتنبيهات وقواعد الخدمة.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الإنتاج</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FR-131</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يحفظ قاموس مصطلحات ثنائي اللغة ويكشف النواقص قبل النشر.</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كلاهما</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FR-140</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يتيح العرض التجريبي تبديل الأدوار دون ادعاء مصادقة حقيقية.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العرض</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FR-141</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يوفر حالة اصطناعية مكتملة من الترشيح حتى مراجعة الأثر.</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العرض</w:t>
            </w:r>
          </w:p>
        </w:tc>
      </w:tr>
      <w:tr>
        <w:trPr>
          <w:cantSplit/>
        </w:trPr>
        <w:tc>
          <w:tcPr>
            <w:tcW w:type="dxa" w:w="10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FR-142</w:t>
            </w:r>
          </w:p>
        </w:tc>
        <w:tc>
          <w:tcPr>
            <w:tcW w:type="dxa" w:w="6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يعيد بيانات العرض إلى نقطة بداية معروفة بضغطة واحدة.</w:t>
            </w:r>
          </w:p>
        </w:tc>
        <w:tc>
          <w:tcPr>
            <w:tcW w:type="dxa" w:w="115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العرض</w:t>
            </w:r>
          </w:p>
        </w:tc>
      </w:tr>
      <w:tr>
        <w:trPr>
          <w:cantSplit/>
        </w:trPr>
        <w:tc>
          <w:tcPr>
            <w:tcW w:type="dxa" w:w="10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FR-143</w:t>
            </w:r>
          </w:p>
        </w:tc>
        <w:tc>
          <w:tcPr>
            <w:tcW w:type="dxa" w:w="6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يعرض شريطًا ثابتًا يوضح أن البيانات توضيحية ولا تمثل نظامًا معتمدًا.</w:t>
            </w:r>
          </w:p>
        </w:tc>
        <w:tc>
          <w:tcPr>
            <w:tcW w:type="dxa" w:w="115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c>
          <w:tcPr>
            <w:tcW w:type="dxa" w:w="147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العرض</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9. المتطلبات غير الوظيفية</w:t>
      </w:r>
    </w:p>
    <w:p>
      <w:pPr>
        <w:keepNext w:val="0"/>
        <w:keepLines w:val="0"/>
        <w:bidi/>
        <w:spacing w:before="0" w:after="110" w:line="269" w:lineRule="auto"/>
        <w:jc w:val="right"/>
      </w:pPr>
      <w:r>
        <w:rPr>
          <w:rFonts w:ascii="Arial" w:hAnsi="Arial" w:eastAsia="Arial" w:cs="Arial"/>
          <w:b w:val="0"/>
          <w:i w:val="0"/>
          <w:color w:val="1D2730"/>
          <w:sz w:val="18"/>
          <w:rtl/>
        </w:rPr>
        <w:t>هذه المتطلبات جزء من قبول المنتج وليست «تحسينات تقنية». تُشتق ضوابط الإنتاج النهائية من تصنيف الخدمة وسياسات الوزارة ومراجعة الأمن والخصوصية والبنية المؤسسية.</w:t>
      </w:r>
    </w:p>
    <w:p>
      <w:pPr>
        <w:pStyle w:val="Heading2"/>
        <w:keepNext/>
        <w:keepLines w:val="0"/>
        <w:bidi/>
        <w:spacing w:before="200" w:after="100" w:line="240" w:lineRule="auto"/>
        <w:jc w:val="right"/>
      </w:pPr>
      <w:r>
        <w:rPr>
          <w:rFonts w:ascii="Arial" w:hAnsi="Arial" w:eastAsia="Arial" w:cs="Arial"/>
          <w:b/>
          <w:i w:val="0"/>
          <w:color w:val="17364A"/>
          <w:sz w:val="25"/>
          <w:rtl/>
        </w:rPr>
        <w:t>الأمن والخصوصية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200"/>
        <w:gridCol w:w="7900"/>
        <w:gridCol w:w="1220"/>
      </w:tblGrid>
      <w:tr>
        <w:trPr>
          <w:tblHeader w:val="true"/>
          <w:cantSplit/>
        </w:trPr>
        <w:tc>
          <w:tcPr>
            <w:tcW w:type="dxa" w:w="1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7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2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NFR-001</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تخضع البنية وسياسات التحكم لمعايير الوزارة وضوابط ضمان المعلومات الوطنية المعمول بها؛ والأشد مقدم.</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NFR-002</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تستخدم النسخة التشغيلية هوية الوزارة وSSO والمصادقة متعددة العوامل حسب السياسة.</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NFR-003</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تطبق صلاحيات قائمة على الدور والحاجة مع فصل المسؤوليات ومراجعة دورية وإلغاء فوري.</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NFR-004</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تشفّر البيانات أثناء النقل وعند التخزين بالمفاتيح والإدارة المعتمدتين.</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NFR-005</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تطبق تحققًا من جانب الخادم لكل مدخل وانتقال حالة ولا تثق بالواجهة.</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NFR-006</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تُبنى اختبارات أمن التطبيق على OWASP ASVS 5.0.0 بالمستوى الذي تعتمده الجهة الأمنية.</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NFR-007</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تنفذ نمذجة تهديدات ومراجعة كود وفحص تبعيات واختبار اختراق قبل الإنتاج.</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NFR-008</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تحدد فئات البيانات ومالكها والغرض والاحتفاظ والحذف والوصول والتصدير.</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NFR-009</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تستخدم أدوات تتبع أو تحليلات خارجية في الإنتاج دون اعتماد صريح.</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NFR-010</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تسجل العمليات المميزة والصادرات والوصول إلى البيانات الحساسة وترسل الأحداث المناسبة إلى SIEM.</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قابلية الاستخدام والوصول</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200"/>
        <w:gridCol w:w="7900"/>
        <w:gridCol w:w="1220"/>
      </w:tblGrid>
      <w:tr>
        <w:trPr>
          <w:tblHeader w:val="true"/>
          <w:cantSplit/>
        </w:trPr>
        <w:tc>
          <w:tcPr>
            <w:tcW w:type="dxa" w:w="1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7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2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NFR-020</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تستهدف الواجهة WCAG 2.2 مستوى AA مع اختبارات آلية ويدوية وقارئات شاشة.</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NFR-021</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تعمل جميع الوظائف الأساسية بلوحة المفاتيح مع مؤشر تركيز واضح وإدارة صحيحة للحوار.</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NFR-022</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تحافظ العربية والإنجليزية على تكافؤ الوظيفة والمحتوى والرسائل وحالات الخطأ.</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NFR-023</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تدعم الواجهة التكبير وإعادة التدفق والأجهزة المكتبية واللوحية والهاتفية وفق الاختبار.</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NFR-024</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تستخدم لغة واضحة، وخطوات قصيرة، وحفظ مسودة، وتأكيدات قبل الإجراءات غير القابلة للعكس.</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NFR-025</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تحترم تفضيل تقليل الحركة ولا تجعل الرسوم أو الانتقالات شرطًا لفهم المحتوى.</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الأداء والاعتمادية والتشغيل</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200"/>
        <w:gridCol w:w="7900"/>
        <w:gridCol w:w="1220"/>
      </w:tblGrid>
      <w:tr>
        <w:trPr>
          <w:tblHeader w:val="true"/>
          <w:cantSplit/>
        </w:trPr>
        <w:tc>
          <w:tcPr>
            <w:tcW w:type="dxa" w:w="1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7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2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NFR-030</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توضع ميزانية أداء واختبارات على شبكة وأجهزة الوزارة؛ وتعرض المؤشرات من قياس ميداني معتمد.</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NFR-031</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يُعرّف هدف التوافر وRTO وRPO بعد تصنيف الخدمة وتحليل الأثر، دون افتراض أرقام.</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NFR-032</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تتوفر نسخ احتياطية واختبارات استعادة وخطة استمرارية وتشغيل موثقة.</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NFR-033</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تراقب الصحة والأخطاء والأداء والمهام الخلفية والتنبيهات مع مالك استجابة.</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NFR-034</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تدعم المنصة عدد الدفعات والمستخدمين المتوقع مع اختبار تحميل قبل الإنتاج.</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ينبغي</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NFR-035</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تفصل بيئات التطوير والاختبار والقبول والإنتاج وبياناتها وأسرارها.</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الجودة والتكامل وقابلية الصيانة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200"/>
        <w:gridCol w:w="7900"/>
        <w:gridCol w:w="1220"/>
      </w:tblGrid>
      <w:tr>
        <w:trPr>
          <w:tblHeader w:val="true"/>
          <w:cantSplit/>
        </w:trPr>
        <w:tc>
          <w:tcPr>
            <w:tcW w:type="dxa" w:w="1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المعرف</w:t>
            </w:r>
          </w:p>
        </w:tc>
        <w:tc>
          <w:tcPr>
            <w:tcW w:type="dxa" w:w="7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المتطلب</w:t>
            </w:r>
          </w:p>
        </w:tc>
        <w:tc>
          <w:tcPr>
            <w:tcW w:type="dxa" w:w="12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الأولوية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NFR-040</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تستخدم واجهات API موثقة، وإصدارات، والتحقق من المخططات، ومعالجة أخطاء متسقة.</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NFR-041</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تمنع الواجهة الوصول المباشر إلى قاعدة البيانات؛ تمر جميع العمليات عبر خدمات مصرح بها.</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NFR-042</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تخضع تغييرات القواعد والنماذج والمصطلحات لإصدار واختبار وموافقة.</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NFR-043</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تغطي الاختبارات الوحدات والتكامل والرحلات الحرجة والصلاحيات والانحدار وإمكانية الوصول.</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NFR-044</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يُسلّم الكود والمخططات ودفتر التشغيل ودليل الإدارة وحزمة النشر ضمن مستودع الوزارة.</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NFR-045</w:t>
            </w:r>
          </w:p>
        </w:tc>
        <w:tc>
          <w:tcPr>
            <w:tcW w:type="dxa" w:w="7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تلتزم البنية بمعايير التقنية المؤسسية وتتجنب الخدمات الدقيقة غير المبررة في مرحلة التجربة.</w:t>
            </w:r>
          </w:p>
        </w:tc>
        <w:tc>
          <w:tcPr>
            <w:tcW w:type="dxa" w:w="122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val="0"/>
                <w:i w:val="0"/>
                <w:color w:val="1D2730"/>
                <w:sz w:val="14"/>
                <w:rtl/>
              </w:rPr>
              <w:t>ينبغي</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NFR-046</w:t>
            </w:r>
          </w:p>
        </w:tc>
        <w:tc>
          <w:tcPr>
            <w:tcW w:type="dxa" w:w="7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توثق كل قيمة في لوحة المؤشرات إلى تعريف ومصدر وحساب وإصدار ووقت تحديث.</w:t>
            </w:r>
          </w:p>
        </w:tc>
        <w:tc>
          <w:tcPr>
            <w:tcW w:type="dxa" w:w="122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val="0"/>
                <w:i w:val="0"/>
                <w:color w:val="1D2730"/>
                <w:sz w:val="14"/>
                <w:rtl/>
              </w:rPr>
              <w:t>يجب</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9.1 متطلبات المحتوى ثنائي اللغة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600"/>
        <w:gridCol w:w="3600"/>
        <w:gridCol w:w="4120"/>
      </w:tblGrid>
      <w:tr>
        <w:trPr>
          <w:tblHeader w:val="true"/>
          <w:cantSplit/>
        </w:trPr>
        <w:tc>
          <w:tcPr>
            <w:tcW w:type="dxa" w:w="26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English term</w:t>
            </w:r>
          </w:p>
        </w:tc>
        <w:tc>
          <w:tcPr>
            <w:tcW w:type="dxa" w:w="36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المصطلح العربي المعتمد مبدئيًا</w:t>
            </w:r>
          </w:p>
        </w:tc>
        <w:tc>
          <w:tcPr>
            <w:tcW w:type="dxa" w:w="41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ملاحظة</w:t>
            </w:r>
          </w:p>
        </w:tc>
      </w:tr>
      <w:tr>
        <w:trPr>
          <w:cantSplit/>
        </w:trPr>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Fellowship</w:t>
            </w:r>
          </w:p>
        </w:tc>
        <w:tc>
          <w:tcPr>
            <w:tcW w:type="dxa" w:w="3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زمالة</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لا تُستبدل بدورة تدريبية.</w:t>
            </w:r>
          </w:p>
        </w:tc>
      </w:tr>
      <w:tr>
        <w:trPr>
          <w:cantSplit/>
        </w:trPr>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Fellow</w:t>
            </w:r>
          </w:p>
        </w:tc>
        <w:tc>
          <w:tcPr>
            <w:tcW w:type="dxa" w:w="3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زميل / زملاء</w:t>
            </w:r>
          </w:p>
        </w:tc>
        <w:tc>
          <w:tcPr>
            <w:tcW w:type="dxa" w:w="4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تستخدم للمختارين بعد قرار القبول.</w:t>
            </w:r>
          </w:p>
        </w:tc>
      </w:tr>
      <w:tr>
        <w:trPr>
          <w:cantSplit/>
        </w:trPr>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Nominee</w:t>
            </w:r>
          </w:p>
        </w:tc>
        <w:tc>
          <w:tcPr>
            <w:tcW w:type="dxa" w:w="3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موظف مُرشَّح</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قبل الاختيار.</w:t>
            </w:r>
          </w:p>
        </w:tc>
      </w:tr>
      <w:tr>
        <w:trPr>
          <w:cantSplit/>
        </w:trPr>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Preparation Station</w:t>
            </w:r>
          </w:p>
        </w:tc>
        <w:tc>
          <w:tcPr>
            <w:tcW w:type="dxa" w:w="3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محطة إعداد</w:t>
            </w:r>
          </w:p>
        </w:tc>
        <w:tc>
          <w:tcPr>
            <w:tcW w:type="dxa" w:w="4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المصطلح المعتمد بدل «الانغماس».</w:t>
            </w:r>
          </w:p>
        </w:tc>
      </w:tr>
      <w:tr>
        <w:trPr>
          <w:cantSplit/>
        </w:trPr>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Strategic Advancement</w:t>
            </w:r>
          </w:p>
        </w:tc>
        <w:tc>
          <w:tcPr>
            <w:tcW w:type="dxa" w:w="3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الارتقاء الاستراتيجي</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يحتاج تثبيتًا نهائيًا في قاموس الهوية.</w:t>
            </w:r>
          </w:p>
        </w:tc>
      </w:tr>
      <w:tr>
        <w:trPr>
          <w:cantSplit/>
        </w:trPr>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Management</w:t>
            </w:r>
          </w:p>
        </w:tc>
        <w:tc>
          <w:tcPr>
            <w:tcW w:type="dxa" w:w="3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الإدارة</w:t>
            </w:r>
          </w:p>
        </w:tc>
        <w:tc>
          <w:tcPr>
            <w:tcW w:type="dxa" w:w="4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الركيزة الثانية.</w:t>
            </w:r>
          </w:p>
        </w:tc>
      </w:tr>
      <w:tr>
        <w:trPr>
          <w:cantSplit/>
        </w:trPr>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Transformation</w:t>
            </w:r>
          </w:p>
        </w:tc>
        <w:tc>
          <w:tcPr>
            <w:tcW w:type="dxa" w:w="3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التحول</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الركيزة الثالثة.</w:t>
            </w:r>
          </w:p>
        </w:tc>
      </w:tr>
      <w:tr>
        <w:trPr>
          <w:cantSplit/>
        </w:trPr>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Programme Office</w:t>
            </w:r>
          </w:p>
        </w:tc>
        <w:tc>
          <w:tcPr>
            <w:tcW w:type="dxa" w:w="3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مكتب البرنامج</w:t>
            </w:r>
          </w:p>
        </w:tc>
        <w:tc>
          <w:tcPr>
            <w:tcW w:type="dxa" w:w="4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مالك التشغيل اليومي.</w:t>
            </w:r>
          </w:p>
        </w:tc>
      </w:tr>
      <w:tr>
        <w:trPr>
          <w:cantSplit/>
        </w:trPr>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Assessor</w:t>
            </w:r>
          </w:p>
        </w:tc>
        <w:tc>
          <w:tcPr>
            <w:tcW w:type="dxa" w:w="3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مُقيِّم</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دور مستقل مع تعارض مصالح.</w:t>
            </w:r>
          </w:p>
        </w:tc>
      </w:tr>
      <w:tr>
        <w:trPr>
          <w:cantSplit/>
        </w:trPr>
        <w:tc>
          <w:tcPr>
            <w:tcW w:type="dxa" w:w="2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Benefits Realisation</w:t>
            </w:r>
          </w:p>
        </w:tc>
        <w:tc>
          <w:tcPr>
            <w:tcW w:type="dxa" w:w="36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تحقق المنافع</w:t>
            </w:r>
          </w:p>
        </w:tc>
        <w:tc>
          <w:tcPr>
            <w:tcW w:type="dxa" w:w="4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يفصل المتوقع عن المتحقق.</w:t>
            </w:r>
          </w:p>
        </w:tc>
      </w:tr>
      <w:tr>
        <w:trPr>
          <w:cantSplit/>
        </w:trPr>
        <w:tc>
          <w:tcPr>
            <w:tcW w:type="dxa" w:w="2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Audit Trail</w:t>
            </w:r>
          </w:p>
        </w:tc>
        <w:tc>
          <w:tcPr>
            <w:tcW w:type="dxa" w:w="36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سجل التدقيق</w:t>
            </w:r>
          </w:p>
        </w:tc>
        <w:tc>
          <w:tcPr>
            <w:tcW w:type="dxa" w:w="4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خط زمني ومصدر كل تغيير.</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10. التصور المعماري</w:t>
      </w:r>
    </w:p>
    <w:p>
      <w:pPr>
        <w:pStyle w:val="Heading2"/>
        <w:keepNext/>
        <w:keepLines w:val="0"/>
        <w:bidi/>
        <w:spacing w:before="200" w:after="100" w:line="240" w:lineRule="auto"/>
        <w:jc w:val="right"/>
      </w:pPr>
      <w:r>
        <w:rPr>
          <w:rFonts w:ascii="Arial" w:hAnsi="Arial" w:eastAsia="Arial" w:cs="Arial"/>
          <w:b/>
          <w:i w:val="0"/>
          <w:color w:val="17364A"/>
          <w:sz w:val="25"/>
          <w:rtl/>
        </w:rPr>
        <w:t>10.1 معمارية النموذج الوظيفي</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400"/>
        <w:gridCol w:w="7920"/>
      </w:tblGrid>
      <w:tr>
        <w:trPr>
          <w:tblHeader w:val="true"/>
          <w:cantSplit/>
        </w:trPr>
        <w:tc>
          <w:tcPr>
            <w:tcW w:type="dxa" w:w="24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الطبقة</w:t>
            </w:r>
          </w:p>
        </w:tc>
        <w:tc>
          <w:tcPr>
            <w:tcW w:type="dxa" w:w="79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النطاق المقترح</w:t>
            </w:r>
          </w:p>
        </w:tc>
      </w:tr>
      <w:tr>
        <w:trPr>
          <w:cantSplit/>
        </w:trPr>
        <w:tc>
          <w:tcPr>
            <w:tcW w:type="dxa" w:w="240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i w:val="0"/>
                <w:color w:val="1D2730"/>
                <w:sz w:val="15"/>
                <w:rtl/>
              </w:rPr>
              <w:t>واجهة العرض</w:t>
            </w:r>
          </w:p>
        </w:tc>
        <w:tc>
          <w:tcPr>
            <w:tcW w:type="dxa" w:w="792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val="0"/>
                <w:i w:val="0"/>
                <w:color w:val="1D2730"/>
                <w:sz w:val="15"/>
                <w:rtl/>
              </w:rPr>
              <w:t>تطبيق ويب ثنائي اللغة ومتجاوب يحافظ على هوية SAMT 4.0 ويوفر تبديل الأدوار التجريبي.</w:t>
            </w:r>
          </w:p>
        </w:tc>
      </w:tr>
      <w:tr>
        <w:trPr>
          <w:cantSplit/>
        </w:trPr>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حالة اصطناعية</w:t>
            </w:r>
          </w:p>
        </w:tc>
        <w:tc>
          <w:tcPr>
            <w:tcW w:type="dxa" w:w="7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مخزن بيانات تجريبي أو خدمة محلية مع حالات وقواعد قابلة لإعادة الضبط؛ بلا بيانات أو مفاتيح حقيقية.</w:t>
            </w:r>
          </w:p>
        </w:tc>
      </w:tr>
      <w:tr>
        <w:trPr>
          <w:cantSplit/>
        </w:trPr>
        <w:tc>
          <w:tcPr>
            <w:tcW w:type="dxa" w:w="240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i w:val="0"/>
                <w:color w:val="1D2730"/>
                <w:sz w:val="15"/>
                <w:rtl/>
              </w:rPr>
              <w:t>محرك الرحلة</w:t>
            </w:r>
          </w:p>
        </w:tc>
        <w:tc>
          <w:tcPr>
            <w:tcW w:type="dxa" w:w="792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val="0"/>
                <w:i w:val="0"/>
                <w:color w:val="1D2730"/>
                <w:sz w:val="15"/>
                <w:rtl/>
              </w:rPr>
              <w:t>قواعد انتقال الحالة والمهام والتنبيهات واللوحات وسجل الأحداث التجريبي.</w:t>
            </w:r>
          </w:p>
        </w:tc>
      </w:tr>
      <w:tr>
        <w:trPr>
          <w:cantSplit/>
        </w:trPr>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تقارير العرض</w:t>
            </w:r>
          </w:p>
        </w:tc>
        <w:tc>
          <w:tcPr>
            <w:tcW w:type="dxa" w:w="7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لوحات محدثة من القصة الاصطناعية مع تفسير المؤشر والمصدر.</w:t>
            </w:r>
          </w:p>
        </w:tc>
      </w:tr>
      <w:tr>
        <w:trPr>
          <w:cantSplit/>
        </w:trPr>
        <w:tc>
          <w:tcPr>
            <w:tcW w:type="dxa" w:w="240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i w:val="0"/>
                <w:color w:val="1D2730"/>
                <w:sz w:val="15"/>
                <w:rtl/>
              </w:rPr>
              <w:t>حماية العرض</w:t>
            </w:r>
          </w:p>
        </w:tc>
        <w:tc>
          <w:tcPr>
            <w:tcW w:type="dxa" w:w="7920"/>
            <w:tcMar>
              <w:top w:w="55" w:type="dxa"/>
              <w:start w:w="120" w:type="dxa"/>
              <w:bottom w:w="55" w:type="dxa"/>
              <w:end w:w="120" w:type="dxa"/>
            </w:tcMar>
            <w:vAlign w:val="center"/>
            <w:shd w:fill="EEF3F6" w:val="clear"/>
          </w:tcPr>
          <w:p>
            <w:pPr>
              <w:keepNext w:val="0"/>
              <w:keepLines/>
              <w:bidi/>
              <w:spacing w:before="0" w:after="0" w:line="252" w:lineRule="auto"/>
              <w:jc w:val="right"/>
            </w:pPr>
            <w:r>
              <w:rPr>
                <w:rFonts w:ascii="Arial" w:hAnsi="Arial" w:eastAsia="Arial" w:cs="Arial"/>
                <w:b w:val="0"/>
                <w:i w:val="0"/>
                <w:color w:val="1D2730"/>
                <w:sz w:val="15"/>
                <w:rtl/>
              </w:rPr>
              <w:t>لا أسرار، لا اتصالات داخلية، لا ادعاء SSO، لا جمع بيانات، وشارة توضيحية دائمة.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10.2 معمارية الإنتاج المستهدفة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400"/>
        <w:gridCol w:w="7920"/>
      </w:tblGrid>
      <w:tr>
        <w:trPr>
          <w:tblHeader w:val="true"/>
          <w:cantSplit/>
        </w:trPr>
        <w:tc>
          <w:tcPr>
            <w:tcW w:type="dxa" w:w="24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الطبقة</w:t>
            </w:r>
          </w:p>
        </w:tc>
        <w:tc>
          <w:tcPr>
            <w:tcW w:type="dxa" w:w="79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المكونات والمسؤولية</w:t>
            </w:r>
          </w:p>
        </w:tc>
      </w:tr>
      <w:tr>
        <w:trPr>
          <w:cantSplit/>
        </w:trPr>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القنوات</w:t>
            </w:r>
          </w:p>
        </w:tc>
        <w:tc>
          <w:tcPr>
            <w:tcW w:type="dxa" w:w="7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تطبيق ويب داخلي؛ إمكان وصول محمول مضبوط؛ واجهة عربية/إنجليزية.</w:t>
            </w:r>
          </w:p>
        </w:tc>
      </w:tr>
      <w:tr>
        <w:trPr>
          <w:cantSplit/>
        </w:trPr>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الهوية والوصول</w:t>
            </w:r>
          </w:p>
        </w:tc>
        <w:tc>
          <w:tcPr>
            <w:tcW w:type="dxa" w:w="79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SSO، MFA حسب السياسة، أدوار ونطاقات، دورة حياة الحساب، وفصل الصلاحيات.</w:t>
            </w:r>
          </w:p>
        </w:tc>
      </w:tr>
      <w:tr>
        <w:trPr>
          <w:cantSplit/>
        </w:trPr>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التطبيق وAPI</w:t>
            </w:r>
          </w:p>
        </w:tc>
        <w:tc>
          <w:tcPr>
            <w:tcW w:type="dxa" w:w="7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خدمات أعمال ووصول موحد؛ تحقق من جانب الخادم؛ إدارة أخطاء وإصدارات.</w:t>
            </w:r>
          </w:p>
        </w:tc>
      </w:tr>
      <w:tr>
        <w:trPr>
          <w:cantSplit/>
        </w:trPr>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سير العمل والقواعد</w:t>
            </w:r>
          </w:p>
        </w:tc>
        <w:tc>
          <w:tcPr>
            <w:tcW w:type="dxa" w:w="79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انتقالات الحالة، الصلاحيات، المهام، التنبيهات، SLA، وقواعد الإكمال.</w:t>
            </w:r>
          </w:p>
        </w:tc>
      </w:tr>
      <w:tr>
        <w:trPr>
          <w:cantSplit/>
        </w:trPr>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البيانات</w:t>
            </w:r>
          </w:p>
        </w:tc>
        <w:tc>
          <w:tcPr>
            <w:tcW w:type="dxa" w:w="7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قاعدة علائقية للسجلات؛ مخزن وثائق معتمد؛ سجل تدقيق منفصل ومقاوم للعبث.</w:t>
            </w:r>
          </w:p>
        </w:tc>
      </w:tr>
      <w:tr>
        <w:trPr>
          <w:cantSplit/>
        </w:trPr>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التكامل</w:t>
            </w:r>
          </w:p>
        </w:tc>
        <w:tc>
          <w:tcPr>
            <w:tcW w:type="dxa" w:w="79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بوابة تكامل مع HR والهوية والبريد والتقويم وإدارة الوثائق والتحليلات وSIEM.</w:t>
            </w:r>
          </w:p>
        </w:tc>
      </w:tr>
      <w:tr>
        <w:trPr>
          <w:cantSplit/>
        </w:trPr>
        <w:tc>
          <w:tcPr>
            <w:tcW w:type="dxa" w:w="24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التحليلات</w:t>
            </w:r>
          </w:p>
        </w:tc>
        <w:tc>
          <w:tcPr>
            <w:tcW w:type="dxa" w:w="79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نماذج قراءة ولوحات محكومة؛ تعريف ومصدر لكل مؤشر؛ لا اتصال مباشر بقاعدة المعاملات.</w:t>
            </w:r>
          </w:p>
        </w:tc>
      </w:tr>
      <w:tr>
        <w:trPr>
          <w:cantSplit/>
        </w:trPr>
        <w:tc>
          <w:tcPr>
            <w:tcW w:type="dxa" w:w="24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التشغيل والأمن</w:t>
            </w:r>
          </w:p>
        </w:tc>
        <w:tc>
          <w:tcPr>
            <w:tcW w:type="dxa" w:w="79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سجلات ومراقبة ونسخ واستعادة وإدارة أسرار وثغرات وتغيير وإصدارات.</w:t>
            </w:r>
          </w:p>
        </w:tc>
      </w:tr>
    </w:tbl>
    <w:p>
      <w:pPr>
        <w:keepNext w:val="0"/>
        <w:keepLines w:val="0"/>
        <w:bidi/>
        <w:spacing w:before="0" w:after="20" w:line="247" w:lineRule="auto"/>
        <w:jc w:val="right"/>
      </w:pPr>
    </w:p>
    <w:tbl>
      <w:tblPr>
        <w:tblW w:type="dxa" w:w="10320"/>
        <w:jc w:val="center"/>
        <w:tblLayout w:type="fixed"/>
        <w:tblLook w:firstColumn="1" w:firstRow="1" w:lastColumn="0" w:lastRow="0" w:noHBand="0" w:noVBand="1" w:val="04A0"/>
        <w:tblInd w:w="120" w:type="dxa"/>
        <w:bidiVisual/>
        <w:tblBorders>
          <w:top w:val="single" w:sz="7" w:space="0" w:color="2C6B4F"/>
          <w:start w:val="single" w:sz="7" w:space="0" w:color="2C6B4F"/>
          <w:bottom w:val="single" w:sz="7" w:space="0" w:color="2C6B4F"/>
          <w:end w:val="single" w:sz="7" w:space="0" w:color="2C6B4F"/>
        </w:tblBorders>
      </w:tblPr>
      <w:tblGrid>
        <w:gridCol w:w="10320"/>
      </w:tblGrid>
      <w:tr>
        <w:tc>
          <w:tcPr>
            <w:tcW w:type="dxa" w:w="10320"/>
            <w:tcMar>
              <w:top w:w="55" w:type="dxa"/>
              <w:start w:w="120" w:type="dxa"/>
              <w:bottom w:w="55" w:type="dxa"/>
              <w:end w:w="120" w:type="dxa"/>
            </w:tcMar>
            <w:vAlign w:val="center"/>
            <w:shd w:fill="EAF4EE" w:val="clear"/>
          </w:tcPr>
          <w:p>
            <w:pPr>
              <w:keepNext w:val="0"/>
              <w:keepLines/>
              <w:bidi/>
              <w:spacing w:before="0" w:after="40" w:line="259" w:lineRule="auto"/>
              <w:jc w:val="right"/>
            </w:pPr>
            <w:r>
              <w:rPr>
                <w:rFonts w:ascii="Arial" w:hAnsi="Arial" w:eastAsia="Arial" w:cs="Arial"/>
                <w:b/>
                <w:i w:val="0"/>
                <w:color w:val="2C6B4F"/>
                <w:sz w:val="18"/>
                <w:rtl/>
              </w:rPr>
              <w:t xml:space="preserve">توصية معمارية:  </w:t>
            </w:r>
            <w:r>
              <w:rPr>
                <w:rFonts w:ascii="Arial" w:hAnsi="Arial" w:eastAsia="Arial" w:cs="Arial"/>
                <w:b w:val="0"/>
                <w:i w:val="0"/>
                <w:color w:val="1D2730"/>
                <w:sz w:val="17"/>
                <w:rtl/>
              </w:rPr>
              <w:t>البدء بتطبيق معياري واحد منظم (modular monolith) وخدمات واضحة ما لم تفرض بنية الوزارة خيارًا آخر. الخدمات الدقيقة ليست هدفًا بحد ذاتها، وتضيف تعقيدًا تشغيليًا لا يحتاجه نموذج أولي أو دفعات محدودة.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10.3 التكاملات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100"/>
        <w:gridCol w:w="1800"/>
        <w:gridCol w:w="3850"/>
        <w:gridCol w:w="2570"/>
      </w:tblGrid>
      <w:tr>
        <w:trPr>
          <w:tblHeader w:val="true"/>
          <w:cantSplit/>
        </w:trPr>
        <w:tc>
          <w:tcPr>
            <w:tcW w:type="dxa" w:w="21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التكامل</w:t>
            </w:r>
          </w:p>
        </w:tc>
        <w:tc>
          <w:tcPr>
            <w:tcW w:type="dxa" w:w="18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اتجاه البيانات</w:t>
            </w:r>
          </w:p>
        </w:tc>
        <w:tc>
          <w:tcPr>
            <w:tcW w:type="dxa" w:w="38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الحد الأدنى</w:t>
            </w:r>
          </w:p>
        </w:tc>
        <w:tc>
          <w:tcPr>
            <w:tcW w:type="dxa" w:w="25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قرار مطلوب</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هوية الوزارة</w:t>
            </w:r>
          </w:p>
        </w:tc>
        <w:tc>
          <w:tcPr>
            <w:tcW w:type="dxa" w:w="1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دخول / أدوار</w:t>
            </w:r>
          </w:p>
        </w:tc>
        <w:tc>
          <w:tcPr>
            <w:tcW w:type="dxa" w:w="38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معرف، اسم، جهة، حالة حساب، مجموعات.</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بروتوكول ومصدر الأدوار.</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الموارد البشرية</w:t>
            </w:r>
          </w:p>
        </w:tc>
        <w:tc>
          <w:tcPr>
            <w:tcW w:type="dxa" w:w="1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قراءة مبدئية</w:t>
            </w:r>
          </w:p>
        </w:tc>
        <w:tc>
          <w:tcPr>
            <w:tcW w:type="dxa" w:w="38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حقول أهلية معتمدة فقط.</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المالك والغرض وتواتر التحديث.</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البريد الداخلي</w:t>
            </w:r>
          </w:p>
        </w:tc>
        <w:tc>
          <w:tcPr>
            <w:tcW w:type="dxa" w:w="1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إرسال روابط وتنبيهات</w:t>
            </w:r>
          </w:p>
        </w:tc>
        <w:tc>
          <w:tcPr>
            <w:tcW w:type="dxa" w:w="38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لا تضمين محتوى حساس زائد.</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القوالب والتصنيف.</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التقويم</w:t>
            </w:r>
          </w:p>
        </w:tc>
        <w:tc>
          <w:tcPr>
            <w:tcW w:type="dxa" w:w="1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نشر / تحديث</w:t>
            </w:r>
          </w:p>
        </w:tc>
        <w:tc>
          <w:tcPr>
            <w:tcW w:type="dxa" w:w="38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الجلسات والمحطات والمواعيد.</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حدود التفاصيل.</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إدارة الوثائق</w:t>
            </w:r>
          </w:p>
        </w:tc>
        <w:tc>
          <w:tcPr>
            <w:tcW w:type="dxa" w:w="1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حفظ / استرجاع</w:t>
            </w:r>
          </w:p>
        </w:tc>
        <w:tc>
          <w:tcPr>
            <w:tcW w:type="dxa" w:w="38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إصدارات وتصنيف واحتفاظ.</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المستودع المعتمد.</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4"/>
                <w:rtl/>
              </w:rPr>
              <w:t>التحليلات المؤسسية</w:t>
            </w:r>
          </w:p>
        </w:tc>
        <w:tc>
          <w:tcPr>
            <w:tcW w:type="dxa" w:w="18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تصدير محكوم</w:t>
            </w:r>
          </w:p>
        </w:tc>
        <w:tc>
          <w:tcPr>
            <w:tcW w:type="dxa" w:w="38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مؤشرات مجمعة أو بيانات مصرح بها.</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نموذج البيانات والضوابط.</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4"/>
                <w:rtl/>
              </w:rPr>
              <w:t>SIEM</w:t>
            </w:r>
          </w:p>
        </w:tc>
        <w:tc>
          <w:tcPr>
            <w:tcW w:type="dxa" w:w="18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إرسال أحداث</w:t>
            </w:r>
          </w:p>
        </w:tc>
        <w:tc>
          <w:tcPr>
            <w:tcW w:type="dxa" w:w="38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وصول مميز، فشل مصادقة، تغيير صلاحية، تصدير.</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قائمة الأحداث ومستوى الخطورة.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10.4 الذكاء الاصطناعي</w:t>
      </w:r>
    </w:p>
    <w:p>
      <w:pPr>
        <w:keepNext w:val="0"/>
        <w:keepLines w:val="0"/>
        <w:bidi/>
        <w:spacing w:before="0" w:after="110" w:line="269" w:lineRule="auto"/>
        <w:jc w:val="right"/>
      </w:pPr>
      <w:r>
        <w:rPr>
          <w:rFonts w:ascii="Arial" w:hAnsi="Arial" w:eastAsia="Arial" w:cs="Arial"/>
          <w:b w:val="0"/>
          <w:i w:val="0"/>
          <w:color w:val="1D2730"/>
          <w:sz w:val="18"/>
          <w:rtl/>
        </w:rPr>
        <w:t>لا يحتاج الإصدار الأول إلى الذكاء الاصطناعي ليكون مقنعًا أو فعالًا. إذا أضيف لاحقًا، يقتصر مبدئيًا على تلخيص تقدم غير حساس، واقتراح مسودات، وكشف التأخر أو نقص البيانات. لا يُسمح له بإصدار قرار أهلية أو اختيار أو ترتيب ملزم، ولا بتوليد مبرر دون مراجعة بشرية ومصدر واضح.</w:t>
      </w:r>
    </w:p>
    <w:p>
      <w:pPr>
        <w:pStyle w:val="Heading1"/>
        <w:keepNext/>
        <w:keepLines w:val="0"/>
        <w:bidi/>
        <w:spacing w:before="300" w:after="140" w:line="240" w:lineRule="auto"/>
        <w:jc w:val="right"/>
      </w:pPr>
      <w:r>
        <w:rPr>
          <w:rFonts w:ascii="Arial" w:hAnsi="Arial" w:eastAsia="Arial" w:cs="Arial"/>
          <w:b/>
          <w:i w:val="0"/>
          <w:color w:val="0A1C2B"/>
          <w:sz w:val="31"/>
          <w:rtl/>
        </w:rPr>
        <w:t>11. سيناريو العرض التنفيذي</w:t>
      </w:r>
    </w:p>
    <w:p>
      <w:pPr>
        <w:keepNext w:val="0"/>
        <w:keepLines w:val="0"/>
        <w:bidi/>
        <w:spacing w:before="0" w:after="110" w:line="269" w:lineRule="auto"/>
        <w:jc w:val="right"/>
      </w:pPr>
      <w:r>
        <w:rPr>
          <w:rFonts w:ascii="Arial" w:hAnsi="Arial" w:eastAsia="Arial" w:cs="Arial"/>
          <w:b w:val="0"/>
          <w:i w:val="0"/>
          <w:color w:val="1D2730"/>
          <w:sz w:val="18"/>
          <w:rtl/>
        </w:rPr>
        <w:t>تُبنى المنصة حول قصة اصطناعية ثابتة يمكن عرضها في 12–15 دقيقة أو اختصارها إلى خمس دقائق. الأسماء والجهات والأرقام تخيلية، ويظهر ذلك بوضوح.</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600"/>
        <w:gridCol w:w="1750"/>
        <w:gridCol w:w="5150"/>
        <w:gridCol w:w="2820"/>
      </w:tblGrid>
      <w:tr>
        <w:trPr>
          <w:tblHeader w:val="true"/>
          <w:cantSplit/>
        </w:trPr>
        <w:tc>
          <w:tcPr>
            <w:tcW w:type="dxa" w:w="6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w:t>
            </w:r>
          </w:p>
        </w:tc>
        <w:tc>
          <w:tcPr>
            <w:tcW w:type="dxa" w:w="17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الدور</w:t>
            </w:r>
          </w:p>
        </w:tc>
        <w:tc>
          <w:tcPr>
            <w:tcW w:type="dxa" w:w="51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الفعل المعروض</w:t>
            </w:r>
          </w:p>
        </w:tc>
        <w:tc>
          <w:tcPr>
            <w:tcW w:type="dxa" w:w="28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النتيجة المرئية</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1</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الراعي التنفيذي</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يفتح النظرة التنفيذية ويرى دفعة مقترحة وقرار فتح الترشيح.</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اعتماد فتح النافذة.</w:t>
            </w:r>
          </w:p>
        </w:tc>
      </w:tr>
      <w:tr>
        <w:trPr>
          <w:cantSplit/>
        </w:trPr>
        <w:tc>
          <w:tcPr>
            <w:tcW w:type="dxa" w:w="6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2</w:t>
            </w:r>
          </w:p>
        </w:tc>
        <w:tc>
          <w:tcPr>
            <w:tcW w:type="dxa" w:w="17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المدير</w:t>
            </w:r>
          </w:p>
        </w:tc>
        <w:tc>
          <w:tcPr>
            <w:tcW w:type="dxa" w:w="51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يرشح موظفًا اصطناعيًا ويضيف مبررًا ودليلًا ويعتمد وقت المشاركة.</w:t>
            </w:r>
          </w:p>
        </w:tc>
        <w:tc>
          <w:tcPr>
            <w:tcW w:type="dxa" w:w="28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ترشيح مرسل.</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3</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الموظف</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يراجع البيانات ويقر صحتها ويكمل بيان الدافع.</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ملف مكتمل.</w:t>
            </w:r>
          </w:p>
        </w:tc>
      </w:tr>
      <w:tr>
        <w:trPr>
          <w:cantSplit/>
        </w:trPr>
        <w:tc>
          <w:tcPr>
            <w:tcW w:type="dxa" w:w="6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4</w:t>
            </w:r>
          </w:p>
        </w:tc>
        <w:tc>
          <w:tcPr>
            <w:tcW w:type="dxa" w:w="17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مراجع الأهلية</w:t>
            </w:r>
          </w:p>
        </w:tc>
        <w:tc>
          <w:tcPr>
            <w:tcW w:type="dxa" w:w="51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يفحص الشروط ويطلب استكمالًا ثم يعتمد الأهلية.</w:t>
            </w:r>
          </w:p>
        </w:tc>
        <w:tc>
          <w:tcPr>
            <w:tcW w:type="dxa" w:w="28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حالة مؤهل.</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5</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المقيم</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يقر عدم التعارض ويكمل التقييم والمبررات.</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تقييم مقفل.</w:t>
            </w:r>
          </w:p>
        </w:tc>
      </w:tr>
      <w:tr>
        <w:trPr>
          <w:cantSplit/>
        </w:trPr>
        <w:tc>
          <w:tcPr>
            <w:tcW w:type="dxa" w:w="6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6</w:t>
            </w:r>
          </w:p>
        </w:tc>
        <w:tc>
          <w:tcPr>
            <w:tcW w:type="dxa" w:w="17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اللجنة</w:t>
            </w:r>
          </w:p>
        </w:tc>
        <w:tc>
          <w:tcPr>
            <w:tcW w:type="dxa" w:w="51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تراجع الملخص والفروق وتوثق قرار الاختيار.</w:t>
            </w:r>
          </w:p>
        </w:tc>
        <w:tc>
          <w:tcPr>
            <w:tcW w:type="dxa" w:w="28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مختار بعد اعتماد.</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7</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مكتب البرنامج</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يشغّل التهيئة وخط الأساس والتقويم.</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زميل جاهز.</w:t>
            </w:r>
          </w:p>
        </w:tc>
      </w:tr>
      <w:tr>
        <w:trPr>
          <w:cantSplit/>
        </w:trPr>
        <w:tc>
          <w:tcPr>
            <w:tcW w:type="dxa" w:w="6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8</w:t>
            </w:r>
          </w:p>
        </w:tc>
        <w:tc>
          <w:tcPr>
            <w:tcW w:type="dxa" w:w="17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الزميل</w:t>
            </w:r>
          </w:p>
        </w:tc>
        <w:tc>
          <w:tcPr>
            <w:tcW w:type="dxa" w:w="51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يكمل مهمة ومحطة إعداد ويرفع دليلًا.</w:t>
            </w:r>
          </w:p>
        </w:tc>
        <w:tc>
          <w:tcPr>
            <w:tcW w:type="dxa" w:w="28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تقدم الرحلة يتحدث.</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9</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المرشد</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يسجل جلسة وإجراء متابعة.</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خطة تطوير محدثة.</w:t>
            </w:r>
          </w:p>
        </w:tc>
      </w:tr>
      <w:tr>
        <w:trPr>
          <w:cantSplit/>
        </w:trPr>
        <w:tc>
          <w:tcPr>
            <w:tcW w:type="dxa" w:w="6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10</w:t>
            </w:r>
          </w:p>
        </w:tc>
        <w:tc>
          <w:tcPr>
            <w:tcW w:type="dxa" w:w="17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فريق المشروع</w:t>
            </w:r>
          </w:p>
        </w:tc>
        <w:tc>
          <w:tcPr>
            <w:tcW w:type="dxa" w:w="51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يحدث معلمًا ومخاطر وقرارًا ودليل منفعة.</w:t>
            </w:r>
          </w:p>
        </w:tc>
        <w:tc>
          <w:tcPr>
            <w:tcW w:type="dxa" w:w="28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لوحة المحفظة تتغير.</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11</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اللجنة</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تراجع قواعد الإكمال وتصدر قرار التخرج.</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متخرج.</w:t>
            </w:r>
          </w:p>
        </w:tc>
      </w:tr>
      <w:tr>
        <w:trPr>
          <w:cantSplit/>
        </w:trPr>
        <w:tc>
          <w:tcPr>
            <w:tcW w:type="dxa" w:w="6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12</w:t>
            </w:r>
          </w:p>
        </w:tc>
        <w:tc>
          <w:tcPr>
            <w:tcW w:type="dxa" w:w="17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المدير / الراعي</w:t>
            </w:r>
          </w:p>
        </w:tc>
        <w:tc>
          <w:tcPr>
            <w:tcW w:type="dxa" w:w="51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ينفذ مراجعة أثر اصطناعية بعد 6 و12 شهرًا.</w:t>
            </w:r>
          </w:p>
        </w:tc>
        <w:tc>
          <w:tcPr>
            <w:tcW w:type="dxa" w:w="28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منفعة مثبتة جزئيًا مع دليل.</w:t>
            </w:r>
          </w:p>
        </w:tc>
      </w:tr>
      <w:tr>
        <w:trPr>
          <w:cantSplit/>
        </w:trPr>
        <w:tc>
          <w:tcPr>
            <w:tcW w:type="dxa" w:w="6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13</w:t>
            </w:r>
          </w:p>
        </w:tc>
        <w:tc>
          <w:tcPr>
            <w:tcW w:type="dxa" w:w="17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التدقيق</w:t>
            </w:r>
          </w:p>
        </w:tc>
        <w:tc>
          <w:tcPr>
            <w:tcW w:type="dxa" w:w="51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يفتح الخط الزمني ويرى كل انتقال ومصدر وقيمة.</w:t>
            </w:r>
          </w:p>
        </w:tc>
        <w:tc>
          <w:tcPr>
            <w:tcW w:type="dxa" w:w="28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إثبات قابلية التتبع.</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11.1 بيانات العرض</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دفعة واحدة مكتملة ودفعة مستقبلية مسودة لإظهار المقارنة.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12 مرشحًا اصطناعيًا، منهم 10 مختارين وفق المعايير المقترحة، مع حالة احتياط وانسحاب واستثناء.</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أربعة مقيمين افتراضيين وحالة تعارض مصالح وإعادة تكليف.</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أربع محطات إعداد بحالات مختلفة: توضيحية، مقترحة، قيد التأكيد، ومؤكدة.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ثلاثة مشروعات تطبيقية بأوضاع: على المسار، يحتاج قرارًا، ومنفعة قيد القياس.</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سجل تدقيق كامل وأحداث متعمدة توضح التصحيح المسبب دون حذف التاريخ.</w:t>
      </w:r>
    </w:p>
    <w:p>
      <w:pPr>
        <w:pStyle w:val="SAMTNote"/>
        <w:keepNext w:val="0"/>
        <w:keepLines w:val="0"/>
        <w:bidi/>
        <w:spacing w:before="0" w:after="80" w:line="252" w:lineRule="auto"/>
        <w:jc w:val="right"/>
      </w:pPr>
      <w:r>
        <w:rPr>
          <w:rFonts w:ascii="Arial" w:hAnsi="Arial" w:eastAsia="Arial" w:cs="Arial"/>
          <w:b w:val="0"/>
          <w:i/>
          <w:color w:val="5F6B75"/>
          <w:sz w:val="16"/>
          <w:rtl/>
        </w:rPr>
        <w:t>الأعداد هنا لبناء قصة العرض فقط، ولا تعتمد معايير البرنامج أو نتائج اختيار فعلية.</w:t>
      </w:r>
    </w:p>
    <w:p>
      <w:pPr>
        <w:pStyle w:val="Heading2"/>
        <w:keepNext/>
        <w:keepLines w:val="0"/>
        <w:bidi/>
        <w:spacing w:before="200" w:after="100" w:line="240" w:lineRule="auto"/>
        <w:jc w:val="right"/>
      </w:pPr>
      <w:r>
        <w:rPr>
          <w:rFonts w:ascii="Arial" w:hAnsi="Arial" w:eastAsia="Arial" w:cs="Arial"/>
          <w:b/>
          <w:i w:val="0"/>
          <w:color w:val="17364A"/>
          <w:sz w:val="25"/>
          <w:rtl/>
        </w:rPr>
        <w:t>11.2 لحظات الإقناع</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300"/>
        <w:gridCol w:w="8020"/>
      </w:tblGrid>
      <w:tr>
        <w:trPr>
          <w:tblHeader w:val="true"/>
          <w:cantSplit/>
        </w:trPr>
        <w:tc>
          <w:tcPr>
            <w:tcW w:type="dxa" w:w="23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اللحظة</w:t>
            </w:r>
          </w:p>
        </w:tc>
        <w:tc>
          <w:tcPr>
            <w:tcW w:type="dxa" w:w="80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ما يجب أن يفهمه صاحب القرار</w:t>
            </w:r>
          </w:p>
        </w:tc>
      </w:tr>
      <w:tr>
        <w:trPr>
          <w:cantSplit/>
        </w:trPr>
        <w:tc>
          <w:tcPr>
            <w:tcW w:type="dxa" w:w="23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أول 60 ثانية</w:t>
            </w:r>
          </w:p>
        </w:tc>
        <w:tc>
          <w:tcPr>
            <w:tcW w:type="dxa" w:w="80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ما هي سَمْت، ولمن، وما المشكلة والقيمة والقرار المطلوب.</w:t>
            </w:r>
          </w:p>
        </w:tc>
      </w:tr>
      <w:tr>
        <w:trPr>
          <w:cantSplit/>
        </w:trPr>
        <w:tc>
          <w:tcPr>
            <w:tcW w:type="dxa" w:w="23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الدقيقة 3</w:t>
            </w:r>
          </w:p>
        </w:tc>
        <w:tc>
          <w:tcPr>
            <w:tcW w:type="dxa" w:w="80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أن الاختيار منضبط وقابل للتدقيق وليس ترشيحًا غير منظم.</w:t>
            </w:r>
          </w:p>
        </w:tc>
      </w:tr>
      <w:tr>
        <w:trPr>
          <w:cantSplit/>
        </w:trPr>
        <w:tc>
          <w:tcPr>
            <w:tcW w:type="dxa" w:w="23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الدقيقة 6</w:t>
            </w:r>
          </w:p>
        </w:tc>
        <w:tc>
          <w:tcPr>
            <w:tcW w:type="dxa" w:w="80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أن البرنامج يدير رحلة ومخرجات ومحطات إعداد ولا يقتصر على المحتوى التسويقي.</w:t>
            </w:r>
          </w:p>
        </w:tc>
      </w:tr>
      <w:tr>
        <w:trPr>
          <w:cantSplit/>
        </w:trPr>
        <w:tc>
          <w:tcPr>
            <w:tcW w:type="dxa" w:w="23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الدقيقة 9</w:t>
            </w:r>
          </w:p>
        </w:tc>
        <w:tc>
          <w:tcPr>
            <w:tcW w:type="dxa" w:w="80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أن مشروعات التحول مرتبطة بمالك ودليل ومنفعة وقرار.</w:t>
            </w:r>
          </w:p>
        </w:tc>
      </w:tr>
      <w:tr>
        <w:trPr>
          <w:cantSplit/>
        </w:trPr>
        <w:tc>
          <w:tcPr>
            <w:tcW w:type="dxa" w:w="23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النهاية</w:t>
            </w:r>
          </w:p>
        </w:tc>
        <w:tc>
          <w:tcPr>
            <w:tcW w:type="dxa" w:w="80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أن المخاطر والصلاحيات والبيانات معروفة وأن الخطوة التالية محددة.</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12. معايير القبول</w:t>
      </w:r>
    </w:p>
    <w:p>
      <w:pPr>
        <w:pStyle w:val="Heading2"/>
        <w:keepNext/>
        <w:keepLines w:val="0"/>
        <w:bidi/>
        <w:spacing w:before="200" w:after="100" w:line="240" w:lineRule="auto"/>
        <w:jc w:val="right"/>
      </w:pPr>
      <w:r>
        <w:rPr>
          <w:rFonts w:ascii="Arial" w:hAnsi="Arial" w:eastAsia="Arial" w:cs="Arial"/>
          <w:b/>
          <w:i w:val="0"/>
          <w:color w:val="17364A"/>
          <w:sz w:val="25"/>
          <w:rtl/>
        </w:rPr>
        <w:t>12.1 قبول النموذج الوظيفي</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200"/>
        <w:gridCol w:w="9120"/>
      </w:tblGrid>
      <w:tr>
        <w:trPr>
          <w:tblHeader w:val="true"/>
          <w:cantSplit/>
        </w:trPr>
        <w:tc>
          <w:tcPr>
            <w:tcW w:type="dxa" w:w="1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المعرف</w:t>
            </w:r>
          </w:p>
        </w:tc>
        <w:tc>
          <w:tcPr>
            <w:tcW w:type="dxa" w:w="91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معيار القبول</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AC-D01</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تشغيل حالة اصطناعية كاملة من الترشيح إلى مراجعة الأثر دون روابط ميتة أو خطوات يدوية خارج النموذج.</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AC-D02</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تبديل ما لا يقل عن الأدوار الأساسية مع اختلاف واضح في الملاحة والبيانات والإجراءات.</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AC-D03</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تحديث الحالة والمهام والتنبيهات واللوحات وسجل التدقيق بعد كل إجراء حرج.</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AC-D04</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إظهار القرارات والأسباب والسلطة والمصدر، وعدم السماح بتعديل صامت لدرجة أو قرار.</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AC-D05</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تكافؤ جميع الشاشات والرسائل الأساسية بالعربية والإنجليزية مع RTL/LTR صحيح.</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AC-D06</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عمل الواجهة على سطح المكتب واللوحي والهاتف ضمن نطاق الاختبار المعتمد.</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AC-D07</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اجتياز الاختبارات الآلية واليدوية الأساسية لإمكانية الوصول، بما فيها لوحة المفاتيح والتركيز والحوار.</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AC-D08</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عدم وجود بيانات شخصية حقيقية أو أسرار أو اتصالات ببيئة الوزارة أو ادعاء مصادقة رسمية.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AC-D09</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وجود شارة عرض توضيحي وسياسة بيانات واضحة ووظيفة إعادة ضبط موثوقة.</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AC-D10</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توافق الأرقام والرسوم مع البيانات الاصطناعية وعدم وجود مؤشرات بلا تعريف أو مصدر.</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AC-D11</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عدم ظهور أخطاء تشغيلية غير معالجة في الرحلات الحرجة والمتصفحات المستهدفة.</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AC-D12</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توفير نسخة عرض مضبوطة وسيناريو مقدم ودليل تشغيل قصير وحزمة مصدر قابلة للتسليم.</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12.2 بوابة قبول الإنتاج</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1200"/>
        <w:gridCol w:w="9120"/>
      </w:tblGrid>
      <w:tr>
        <w:trPr>
          <w:tblHeader w:val="true"/>
          <w:cantSplit/>
        </w:trPr>
        <w:tc>
          <w:tcPr>
            <w:tcW w:type="dxa" w:w="1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المعرف</w:t>
            </w:r>
          </w:p>
        </w:tc>
        <w:tc>
          <w:tcPr>
            <w:tcW w:type="dxa" w:w="91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شرط البوابة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AC-P01</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اعتماد ميثاق البرنامج والقواعد والأدوار والقرارات والمصطلحات.</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AC-P02</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اعتماد تصنيف البيانات وتقييم الخصوصية وجدول الاحتفاظ ومالكي البيانات.</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AC-P03</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اعتماد التصميم الأمني والمعماري ونموذج التهديد وضوابط الوصول.</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AC-P04</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نجاح SSO والصلاحيات وفصل المسؤوليات ومراجعة الحسابات المميزة.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AC-P05</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نجاح التكاملات والنسخ والاستعادة والمراقبة وخطة الاستمرارية.</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AC-P06</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إغلاق نتائج اختبار الاختراق والكود والتبعيات حسب مستوى المخاطر المعتمد.</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AC-P07</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اجتياز UAT لكل دور ومسار واستثناء وحالة خطأ، مع توقيع ملاك الأعمال.</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AC-P08</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اجتياز WCAG 2.2 AA حسب منهج الاختبار المعتمد ومعالجة العيوب الحرجة.</w:t>
            </w:r>
          </w:p>
        </w:tc>
      </w:tr>
      <w:tr>
        <w:trPr>
          <w:cantSplit/>
        </w:trPr>
        <w:tc>
          <w:tcPr>
            <w:tcW w:type="dxa" w:w="12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5"/>
                <w:rtl/>
              </w:rPr>
              <w:t>AC-P09</w:t>
            </w:r>
          </w:p>
        </w:tc>
        <w:tc>
          <w:tcPr>
            <w:tcW w:type="dxa" w:w="91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تسليم أدلة التشغيل والدعم والتدريب والتغيير والعودة للخلف.</w:t>
            </w:r>
          </w:p>
        </w:tc>
      </w:tr>
      <w:tr>
        <w:trPr>
          <w:cantSplit/>
        </w:trPr>
        <w:tc>
          <w:tcPr>
            <w:tcW w:type="dxa" w:w="12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5"/>
                <w:rtl/>
              </w:rPr>
              <w:t>AC-P10</w:t>
            </w:r>
          </w:p>
        </w:tc>
        <w:tc>
          <w:tcPr>
            <w:tcW w:type="dxa" w:w="91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صدور قرار تشغيل رسمي يحدد الدفعة والنطاق والمالك والدعم والمراقبة.</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13. خطة التنفيذ والبوابات</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2100"/>
        <w:gridCol w:w="5650"/>
        <w:gridCol w:w="2570"/>
      </w:tblGrid>
      <w:tr>
        <w:trPr>
          <w:tblHeader w:val="true"/>
          <w:cantSplit/>
        </w:trPr>
        <w:tc>
          <w:tcPr>
            <w:tcW w:type="dxa" w:w="21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المرحلة</w:t>
            </w:r>
          </w:p>
        </w:tc>
        <w:tc>
          <w:tcPr>
            <w:tcW w:type="dxa" w:w="565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المخرجات</w:t>
            </w:r>
          </w:p>
        </w:tc>
        <w:tc>
          <w:tcPr>
            <w:tcW w:type="dxa" w:w="257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بوابة الخروج</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G0 — تثبيت النطاق</w:t>
            </w:r>
          </w:p>
        </w:tc>
        <w:tc>
          <w:tcPr>
            <w:tcW w:type="dxa" w:w="5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اعتماد هذا المخطط، القرارات المفتوحة، ومالك المنتج.</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موافقة على البناء التجريبي.</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G1 — تصميم التجربة</w:t>
            </w:r>
          </w:p>
        </w:tc>
        <w:tc>
          <w:tcPr>
            <w:tcW w:type="dxa" w:w="5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هندسة معلومات، رحلات، نماذج، قاموس، نظام تصميم، ونموذج بيانات.</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مراجعة أعمال وUX.</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G2 — النموذج الوظيفي</w:t>
            </w:r>
          </w:p>
        </w:tc>
        <w:tc>
          <w:tcPr>
            <w:tcW w:type="dxa" w:w="5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واجهات وأدوار وقواعد وحالة اصطناعية ولوحات وسجل تجريبي.</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قبول AC-D01 إلى AC-D12.</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G3 — التحقق مع أصحاب المصلحة</w:t>
            </w:r>
          </w:p>
        </w:tc>
        <w:tc>
          <w:tcPr>
            <w:tcW w:type="dxa" w:w="5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جلسات استخدام، ملاحظات المقيمين والمديرين والمكتب والراعي.</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قرار الاستمرار أو التعديل.</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G4 — تصميم الإنتاج</w:t>
            </w:r>
          </w:p>
        </w:tc>
        <w:tc>
          <w:tcPr>
            <w:tcW w:type="dxa" w:w="5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معمارية وتكامل وأمن وخصوصية واحتفاظ وتشغيل وتكلفة.</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اعتمادات التقنية والأمن والبيانات.</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G5 — بناء واختبار الإنتاج</w:t>
            </w:r>
          </w:p>
        </w:tc>
        <w:tc>
          <w:tcPr>
            <w:tcW w:type="dxa" w:w="5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تكاملات، UAT، أمن، وصول، أداء، استمرارية، تدريب.</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قبول AC-P01 إلى AC-P10.</w:t>
            </w:r>
          </w:p>
        </w:tc>
      </w:tr>
      <w:tr>
        <w:trPr>
          <w:cantSplit/>
        </w:trPr>
        <w:tc>
          <w:tcPr>
            <w:tcW w:type="dxa" w:w="21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G6 — التجربة الداخلية</w:t>
            </w:r>
          </w:p>
        </w:tc>
        <w:tc>
          <w:tcPr>
            <w:tcW w:type="dxa" w:w="565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دفعة محدودة، دعم مكثف، قياس أخطاء واستخدام وأثر.</w:t>
            </w:r>
          </w:p>
        </w:tc>
        <w:tc>
          <w:tcPr>
            <w:tcW w:type="dxa" w:w="257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مراجعة بعد التجربة.</w:t>
            </w:r>
          </w:p>
        </w:tc>
      </w:tr>
      <w:tr>
        <w:trPr>
          <w:cantSplit/>
        </w:trPr>
        <w:tc>
          <w:tcPr>
            <w:tcW w:type="dxa" w:w="21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G7 — التوسع</w:t>
            </w:r>
          </w:p>
        </w:tc>
        <w:tc>
          <w:tcPr>
            <w:tcW w:type="dxa" w:w="565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تحسينات وقواعد وتكاملات ودورات لاحقة.</w:t>
            </w:r>
          </w:p>
        </w:tc>
        <w:tc>
          <w:tcPr>
            <w:tcW w:type="dxa" w:w="257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اعتماد توسع منفصل.</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13.1 تقدير زمني إرشادي</w:t>
      </w:r>
    </w:p>
    <w:p>
      <w:pPr>
        <w:keepNext w:val="0"/>
        <w:keepLines w:val="0"/>
        <w:bidi/>
        <w:spacing w:before="0" w:after="110" w:line="269" w:lineRule="auto"/>
        <w:jc w:val="right"/>
      </w:pPr>
      <w:r>
        <w:rPr>
          <w:rFonts w:ascii="Arial" w:hAnsi="Arial" w:eastAsia="Arial" w:cs="Arial"/>
          <w:b w:val="0"/>
          <w:i w:val="0"/>
          <w:color w:val="1D2730"/>
          <w:sz w:val="18"/>
          <w:rtl/>
        </w:rPr>
        <w:t>يمكن تخطيط التصميم والنموذج الوظيفي في دورة أولية تقريبية من 8 إلى 12 أسبوعًا إذا توفر مالك منتج وقرارات سريعة ومحتوى مستقر. أما الإنتاج فلا يُقدّر بدقة قبل حسم التكامل والتصنيف والأمن والاستضافة. هذا تقدير تخطيطي لا التزام تعاقدي.</w:t>
      </w:r>
    </w:p>
    <w:p>
      <w:pPr>
        <w:pStyle w:val="Heading2"/>
        <w:keepNext/>
        <w:keepLines w:val="0"/>
        <w:bidi/>
        <w:spacing w:before="200" w:after="100" w:line="240" w:lineRule="auto"/>
        <w:jc w:val="right"/>
      </w:pPr>
      <w:r>
        <w:rPr>
          <w:rFonts w:ascii="Arial" w:hAnsi="Arial" w:eastAsia="Arial" w:cs="Arial"/>
          <w:b/>
          <w:i w:val="0"/>
          <w:color w:val="17364A"/>
          <w:sz w:val="25"/>
          <w:rtl/>
        </w:rPr>
        <w:t>13.2 فريق الحد الأدنى</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3000"/>
        <w:gridCol w:w="7320"/>
      </w:tblGrid>
      <w:tr>
        <w:trPr>
          <w:tblHeader w:val="true"/>
          <w:cantSplit/>
        </w:trPr>
        <w:tc>
          <w:tcPr>
            <w:tcW w:type="dxa" w:w="30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المجال</w:t>
            </w:r>
          </w:p>
        </w:tc>
        <w:tc>
          <w:tcPr>
            <w:tcW w:type="dxa" w:w="73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5"/>
                <w:rtl/>
              </w:rPr>
              <w:t>المسؤولية</w:t>
            </w:r>
          </w:p>
        </w:tc>
      </w:tr>
      <w:tr>
        <w:trPr>
          <w:cantSplit/>
        </w:trPr>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مالك المنتج / مكتب البرنامج</w:t>
            </w:r>
          </w:p>
        </w:tc>
        <w:tc>
          <w:tcPr>
            <w:tcW w:type="dxa" w:w="7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القرار اليومي، الأولويات، قبول الأعمال، والمحتوى.</w:t>
            </w:r>
          </w:p>
        </w:tc>
      </w:tr>
      <w:tr>
        <w:trPr>
          <w:cantSplit/>
        </w:trPr>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استراتيجية وتصميم البرنامج</w:t>
            </w:r>
          </w:p>
        </w:tc>
        <w:tc>
          <w:tcPr>
            <w:tcW w:type="dxa" w:w="7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القواعد، الركائز، الكفاءات، التقييم، والمنافع.</w:t>
            </w:r>
          </w:p>
        </w:tc>
      </w:tr>
      <w:tr>
        <w:trPr>
          <w:cantSplit/>
        </w:trPr>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UX/UI وهوية</w:t>
            </w:r>
          </w:p>
        </w:tc>
        <w:tc>
          <w:tcPr>
            <w:tcW w:type="dxa" w:w="7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الرحلات، النماذج، الاختبار، النظام البصري، والعربية/الإنجليزية.</w:t>
            </w:r>
          </w:p>
        </w:tc>
      </w:tr>
      <w:tr>
        <w:trPr>
          <w:cantSplit/>
        </w:trPr>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Frontend</w:t>
            </w:r>
          </w:p>
        </w:tc>
        <w:tc>
          <w:tcPr>
            <w:tcW w:type="dxa" w:w="7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الواجهة المتجاوبة، الحالة، الوصول، والأداء.</w:t>
            </w:r>
          </w:p>
        </w:tc>
      </w:tr>
      <w:tr>
        <w:trPr>
          <w:cantSplit/>
        </w:trPr>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Backend / Workflow</w:t>
            </w:r>
          </w:p>
        </w:tc>
        <w:tc>
          <w:tcPr>
            <w:tcW w:type="dxa" w:w="7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القواعد، API، البيانات، التنبيهات، وسجل التدقيق.</w:t>
            </w:r>
          </w:p>
        </w:tc>
      </w:tr>
      <w:tr>
        <w:trPr>
          <w:cantSplit/>
        </w:trPr>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بيانات وتحليلات</w:t>
            </w:r>
          </w:p>
        </w:tc>
        <w:tc>
          <w:tcPr>
            <w:tcW w:type="dxa" w:w="7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النموذج، الجودة، المؤشرات، والتتبع إلى المصدر.</w:t>
            </w:r>
          </w:p>
        </w:tc>
      </w:tr>
      <w:tr>
        <w:trPr>
          <w:cantSplit/>
        </w:trPr>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أمن وخصوصية</w:t>
            </w:r>
          </w:p>
        </w:tc>
        <w:tc>
          <w:tcPr>
            <w:tcW w:type="dxa" w:w="7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التهديد، الوصول، الضوابط، الاختبار، والتصنيف.</w:t>
            </w:r>
          </w:p>
        </w:tc>
      </w:tr>
      <w:tr>
        <w:trPr>
          <w:cantSplit/>
        </w:trPr>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بنية وتكامل وتشغيل</w:t>
            </w:r>
          </w:p>
        </w:tc>
        <w:tc>
          <w:tcPr>
            <w:tcW w:type="dxa" w:w="7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الاستضافة، الهوية، HR، الوثائق، SIEM، والمراقبة.</w:t>
            </w:r>
          </w:p>
        </w:tc>
      </w:tr>
      <w:tr>
        <w:trPr>
          <w:cantSplit/>
        </w:trPr>
        <w:tc>
          <w:tcPr>
            <w:tcW w:type="dxa" w:w="30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i w:val="0"/>
                <w:color w:val="1D2730"/>
                <w:sz w:val="15"/>
                <w:rtl/>
              </w:rPr>
              <w:t>اختبار وضمان جودة</w:t>
            </w:r>
          </w:p>
        </w:tc>
        <w:tc>
          <w:tcPr>
            <w:tcW w:type="dxa" w:w="7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5"/>
                <w:rtl/>
              </w:rPr>
              <w:t>خطط الاختبار، الانحدار، UAT، الوصول، وقبول الإصدار.</w:t>
            </w:r>
          </w:p>
        </w:tc>
      </w:tr>
      <w:tr>
        <w:trPr>
          <w:cantSplit/>
        </w:trPr>
        <w:tc>
          <w:tcPr>
            <w:tcW w:type="dxa" w:w="30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i w:val="0"/>
                <w:color w:val="1D2730"/>
                <w:sz w:val="15"/>
                <w:rtl/>
              </w:rPr>
              <w:t>محتوى وترجمة</w:t>
            </w:r>
          </w:p>
        </w:tc>
        <w:tc>
          <w:tcPr>
            <w:tcW w:type="dxa" w:w="7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5"/>
                <w:rtl/>
              </w:rPr>
              <w:t>المصطلحات والتكافؤ والتحرير التنفيذي.</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14. المخاطر والضوابط</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700"/>
        <w:gridCol w:w="2200"/>
        <w:gridCol w:w="2200"/>
        <w:gridCol w:w="3900"/>
        <w:gridCol w:w="1320"/>
      </w:tblGrid>
      <w:tr>
        <w:trPr>
          <w:tblHeader w:val="true"/>
          <w:cantSplit/>
        </w:trPr>
        <w:tc>
          <w:tcPr>
            <w:tcW w:type="dxa" w:w="7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3"/>
                <w:rtl/>
              </w:rPr>
              <w:t>الرمز</w:t>
            </w:r>
          </w:p>
        </w:tc>
        <w:tc>
          <w:tcPr>
            <w:tcW w:type="dxa" w:w="2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3"/>
                <w:rtl/>
              </w:rPr>
              <w:t>الخطر</w:t>
            </w:r>
          </w:p>
        </w:tc>
        <w:tc>
          <w:tcPr>
            <w:tcW w:type="dxa" w:w="2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3"/>
                <w:rtl/>
              </w:rPr>
              <w:t>الأثر</w:t>
            </w:r>
          </w:p>
        </w:tc>
        <w:tc>
          <w:tcPr>
            <w:tcW w:type="dxa" w:w="3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3"/>
                <w:rtl/>
              </w:rPr>
              <w:t>الضابط</w:t>
            </w:r>
          </w:p>
        </w:tc>
        <w:tc>
          <w:tcPr>
            <w:tcW w:type="dxa" w:w="13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3"/>
                <w:rtl/>
              </w:rPr>
              <w:t>المالك</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R01</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جاذبية بصرية بلا حجة مؤسسية</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يبدو العرض فاخرًا لكنه لا يقنع.</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بدء التجربة بالقيمة والقرار وربط كل شاشة بمخرج.</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مالك المنتج</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R02</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تحويل التدريب إلى منصة معقدة</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عبء إداري وتبني ضعيف.</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تقليل الحقول وأتمتة الحالة واختبار المهام الحقيقية.</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مكتب البرنامج</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R03</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غموض سلطة القرار</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نزاع أو قرارات غير قابلة للدفاع.</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مصفوفة صلاحيات وبوابات وسجل أسباب.</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الحوكمة</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R04</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تحيز أو عدم اتساق التقييم</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ضرر عدالة وسمعة.</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أداة واضحة، تدريب، تعارض، استقلالية، ومعايرة.</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مالك التقييم</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R05</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تسرب بيانات موظفين</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أثر قانوني وأمني وسمعة.</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تقليل، تصنيف، وصول، تشفير، سجل، واختبار.</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الأمن / البيانات</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R06</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خلط النموذج العام بالإنتاج</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إدخال بيانات حقيقية أو ثقة زائفة.</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فصل تام، شارة ثابتة، وعدم وجود تكاملات أو أسرار.</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مالك النموذج</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R07</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ادعاءات أثر غير مثبتة</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فقد الثقة.</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قاموس مؤشرات وتمييز المتوقع والمتحقق ومصدر كل قيمة.</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مالك المنافع</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R08</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محطات أو جهات غير مؤكدة</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انطباع تأييد غير صحيح.</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حالة صريحة: توضيحية / مقترحة / مؤكدة ومراجعة اتصال.</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مكتب البرنامج</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R09</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تكامل مبكر مع HR</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تأخير ومخاطر وبيانات زائدة.</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موصل تجريبي ثم قراءة الحد الأدنى بعد الاعتماد.</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المعمارية</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R10</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إفراط في الخدمات الدقيقة أو AI</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تكلفة وتعقيد وتشتيت.</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بنية معيارية بسيطة وAI اختياري بحوكمة.</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التقنية</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R11</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ضعف العربية أو عدم التكافؤ</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فقد المصداقية وسوء الاستخدام.</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قاموس ومراجعة جانبًا إلى جنب واختبار RTL.</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مالك المحتوى</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R12</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إهمال إمكانية الوصول</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استبعاد مستخدمين ومخاطر قبول.</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WCAG 2.2 AA واختبار يدوي وآلي.</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UX / QA</w:t>
            </w:r>
          </w:p>
        </w:tc>
      </w:tr>
      <w:tr>
        <w:trPr>
          <w:cantSplit/>
        </w:trPr>
        <w:tc>
          <w:tcPr>
            <w:tcW w:type="dxa" w:w="7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3"/>
                <w:rtl/>
              </w:rPr>
              <w:t>R13</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عدم اعتماد وقت مشاركة الزملاء</w:t>
            </w:r>
          </w:p>
        </w:tc>
        <w:tc>
          <w:tcPr>
            <w:tcW w:type="dxa" w:w="2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تأخر وغياب ونتائج ضعيفة.</w:t>
            </w:r>
          </w:p>
        </w:tc>
        <w:tc>
          <w:tcPr>
            <w:tcW w:type="dxa" w:w="39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اعتماد المدير وجدول عبء ومؤشر التزام.</w:t>
            </w:r>
          </w:p>
        </w:tc>
        <w:tc>
          <w:tcPr>
            <w:tcW w:type="dxa" w:w="13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3"/>
                <w:rtl/>
              </w:rPr>
              <w:t>الراعي / المديرون</w:t>
            </w:r>
          </w:p>
        </w:tc>
      </w:tr>
      <w:tr>
        <w:trPr>
          <w:cantSplit/>
        </w:trPr>
        <w:tc>
          <w:tcPr>
            <w:tcW w:type="dxa" w:w="7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3"/>
                <w:rtl/>
              </w:rPr>
              <w:t>R14</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عدم استمرار المنفعة بعد التخرج</w:t>
            </w:r>
          </w:p>
        </w:tc>
        <w:tc>
          <w:tcPr>
            <w:tcW w:type="dxa" w:w="2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نشاط بلا أثر.</w:t>
            </w:r>
          </w:p>
        </w:tc>
        <w:tc>
          <w:tcPr>
            <w:tcW w:type="dxa" w:w="39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خطة تطبيق ومراجعات 6 و12 شهرًا ومالك منفعة.</w:t>
            </w:r>
          </w:p>
        </w:tc>
        <w:tc>
          <w:tcPr>
            <w:tcW w:type="dxa" w:w="13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3"/>
                <w:rtl/>
              </w:rPr>
              <w:t>مكتب البرنامج</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14.1 سجل القرارات المفتوحة</w:t>
      </w:r>
    </w:p>
    <w:tbl>
      <w:tblPr>
        <w:tblW w:type="dxa" w:w="10320"/>
        <w:jc w:val="center"/>
        <w:tblLayout w:type="fixed"/>
        <w:tblLook w:firstColumn="1" w:firstRow="1" w:lastColumn="0" w:lastRow="0" w:noHBand="0" w:noVBand="1" w:val="04A0"/>
        <w:tblInd w:w="120" w:type="dxa"/>
        <w:bidiVisual/>
        <w:tblBorders>
          <w:top w:val="single" w:sz="4" w:space="0" w:color="CDD5DD"/>
          <w:start w:val="single" w:sz="4" w:space="0" w:color="CDD5DD"/>
          <w:bottom w:val="single" w:sz="4" w:space="0" w:color="CDD5DD"/>
          <w:end w:val="single" w:sz="4" w:space="0" w:color="CDD5DD"/>
          <w:insideH w:val="single" w:sz="4" w:space="0" w:color="CDD5DD"/>
          <w:insideV w:val="single" w:sz="4" w:space="0" w:color="CDD5DD"/>
        </w:tblBorders>
      </w:tblPr>
      <w:tblGrid>
        <w:gridCol w:w="900"/>
        <w:gridCol w:w="7200"/>
        <w:gridCol w:w="2220"/>
      </w:tblGrid>
      <w:tr>
        <w:trPr>
          <w:tblHeader w:val="true"/>
          <w:cantSplit/>
        </w:trPr>
        <w:tc>
          <w:tcPr>
            <w:tcW w:type="dxa" w:w="9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الرمز</w:t>
            </w:r>
          </w:p>
        </w:tc>
        <w:tc>
          <w:tcPr>
            <w:tcW w:type="dxa" w:w="720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القرار المطلوب</w:t>
            </w:r>
          </w:p>
        </w:tc>
        <w:tc>
          <w:tcPr>
            <w:tcW w:type="dxa" w:w="2220"/>
            <w:tcMar>
              <w:top w:w="55" w:type="dxa"/>
              <w:start w:w="120" w:type="dxa"/>
              <w:bottom w:w="55" w:type="dxa"/>
              <w:end w:w="120" w:type="dxa"/>
            </w:tcMar>
            <w:vAlign w:val="center"/>
            <w:shd w:fill="17364A" w:val="clear"/>
          </w:tcPr>
          <w:p>
            <w:pPr>
              <w:keepNext w:val="0"/>
              <w:keepLines/>
              <w:bidi/>
              <w:spacing w:before="0" w:after="0" w:line="240" w:lineRule="auto"/>
              <w:jc w:val="center"/>
            </w:pPr>
            <w:r>
              <w:rPr>
                <w:rFonts w:ascii="Arial" w:hAnsi="Arial" w:eastAsia="Arial" w:cs="Arial"/>
                <w:b/>
                <w:i w:val="0"/>
                <w:color w:val="FFFFFF"/>
                <w:sz w:val="14"/>
                <w:rtl/>
              </w:rPr>
              <w:t>موعد الحسم</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D01</w:t>
            </w:r>
          </w:p>
        </w:tc>
        <w:tc>
          <w:tcPr>
            <w:tcW w:type="dxa" w:w="7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من الراعي التنفيذي ومالك البرنامج وصاحب قرار الاختيار؟</w:t>
            </w:r>
          </w:p>
        </w:tc>
        <w:tc>
          <w:tcPr>
            <w:tcW w:type="dxa" w:w="22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قبل تثبيت سير العمل</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D02</w:t>
            </w:r>
          </w:p>
        </w:tc>
        <w:tc>
          <w:tcPr>
            <w:tcW w:type="dxa" w:w="7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هل 10 زملاء و16 أسبوعًا و4 محطات و3 مشروعات و12 شهرًا معايير معتمدة؟</w:t>
            </w:r>
          </w:p>
        </w:tc>
        <w:tc>
          <w:tcPr>
            <w:tcW w:type="dxa" w:w="22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قبل نشر الدفعة</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D03</w:t>
            </w:r>
          </w:p>
        </w:tc>
        <w:tc>
          <w:tcPr>
            <w:tcW w:type="dxa" w:w="7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ما شروط الأهلية ومصادر التحقق والاستثناءات؟</w:t>
            </w:r>
          </w:p>
        </w:tc>
        <w:tc>
          <w:tcPr>
            <w:tcW w:type="dxa" w:w="22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قبل بناء النموذج النهائي</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D04</w:t>
            </w:r>
          </w:p>
        </w:tc>
        <w:tc>
          <w:tcPr>
            <w:tcW w:type="dxa" w:w="7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 الكفاءات وأداة القياس وأوزان التقييم؟</w:t>
            </w:r>
          </w:p>
        </w:tc>
        <w:tc>
          <w:tcPr>
            <w:tcW w:type="dxa" w:w="22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قبل UAT التقييم</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D05</w:t>
            </w:r>
          </w:p>
        </w:tc>
        <w:tc>
          <w:tcPr>
            <w:tcW w:type="dxa" w:w="7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هل توجد إعادة نظر أو تظلم وما سلطتها ومدتها؟</w:t>
            </w:r>
          </w:p>
        </w:tc>
        <w:tc>
          <w:tcPr>
            <w:tcW w:type="dxa" w:w="22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قبل الإنتاج</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D06</w:t>
            </w:r>
          </w:p>
        </w:tc>
        <w:tc>
          <w:tcPr>
            <w:tcW w:type="dxa" w:w="7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 البيانات المصنفة ومن يملكها وكم تُحفظ؟</w:t>
            </w:r>
          </w:p>
        </w:tc>
        <w:tc>
          <w:tcPr>
            <w:tcW w:type="dxa" w:w="22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قبل تصميم البيانات الإنتاجي</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D07</w:t>
            </w:r>
          </w:p>
        </w:tc>
        <w:tc>
          <w:tcPr>
            <w:tcW w:type="dxa" w:w="7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ما القناة المعتمدة للمضيفين أو المرشدين من خارج الوزارة؟</w:t>
            </w:r>
          </w:p>
        </w:tc>
        <w:tc>
          <w:tcPr>
            <w:tcW w:type="dxa" w:w="22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قبل أي وصول خارجي</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D08</w:t>
            </w:r>
          </w:p>
        </w:tc>
        <w:tc>
          <w:tcPr>
            <w:tcW w:type="dxa" w:w="7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 بيئة الاستضافة ومعايير التقنية والهوية والتكامل؟</w:t>
            </w:r>
          </w:p>
        </w:tc>
        <w:tc>
          <w:tcPr>
            <w:tcW w:type="dxa" w:w="22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قبل G4</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D09</w:t>
            </w:r>
          </w:p>
        </w:tc>
        <w:tc>
          <w:tcPr>
            <w:tcW w:type="dxa" w:w="7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ما الحد الأدنى للأجهزة والمتصفحات والشبكات المستهدفة؟</w:t>
            </w:r>
          </w:p>
        </w:tc>
        <w:tc>
          <w:tcPr>
            <w:tcW w:type="dxa" w:w="22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قبل خطة الاختبار</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D10</w:t>
            </w:r>
          </w:p>
        </w:tc>
        <w:tc>
          <w:tcPr>
            <w:tcW w:type="dxa" w:w="7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ما مؤشرات النجاح وخطوط الأساس والجهة التي تتحقق من المنافع؟</w:t>
            </w:r>
          </w:p>
        </w:tc>
        <w:tc>
          <w:tcPr>
            <w:tcW w:type="dxa" w:w="22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قبل إطلاق التجربة</w:t>
            </w:r>
          </w:p>
        </w:tc>
      </w:tr>
      <w:tr>
        <w:trPr>
          <w:cantSplit/>
        </w:trPr>
        <w:tc>
          <w:tcPr>
            <w:tcW w:type="dxa" w:w="900"/>
            <w:tcMar>
              <w:top w:w="55" w:type="dxa"/>
              <w:start w:w="120" w:type="dxa"/>
              <w:bottom w:w="55" w:type="dxa"/>
              <w:end w:w="120" w:type="dxa"/>
            </w:tcMar>
            <w:vAlign w:val="center"/>
            <w:shd w:fill="FFFFFF" w:val="clear"/>
          </w:tcPr>
          <w:p>
            <w:pPr>
              <w:keepNext w:val="0"/>
              <w:keepLines/>
              <w:bidi/>
              <w:spacing w:before="0" w:after="0" w:line="252" w:lineRule="auto"/>
              <w:jc w:val="center"/>
            </w:pPr>
            <w:r>
              <w:rPr>
                <w:rFonts w:ascii="Arial" w:hAnsi="Arial" w:eastAsia="Arial" w:cs="Arial"/>
                <w:b/>
                <w:i w:val="0"/>
                <w:color w:val="1D2730"/>
                <w:sz w:val="14"/>
                <w:rtl/>
              </w:rPr>
              <w:t>D11</w:t>
            </w:r>
          </w:p>
        </w:tc>
        <w:tc>
          <w:tcPr>
            <w:tcW w:type="dxa" w:w="720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ما نطاق العربية والإنجليزية في التقارير والوثائق والإشعارات؟</w:t>
            </w:r>
          </w:p>
        </w:tc>
        <w:tc>
          <w:tcPr>
            <w:tcW w:type="dxa" w:w="2220"/>
            <w:tcMar>
              <w:top w:w="55" w:type="dxa"/>
              <w:start w:w="120" w:type="dxa"/>
              <w:bottom w:w="55" w:type="dxa"/>
              <w:end w:w="120" w:type="dxa"/>
            </w:tcMar>
            <w:vAlign w:val="center"/>
            <w:shd w:fill="FFFFFF" w:val="clear"/>
          </w:tcPr>
          <w:p>
            <w:pPr>
              <w:keepNext w:val="0"/>
              <w:keepLines/>
              <w:bidi/>
              <w:spacing w:before="0" w:after="0" w:line="252" w:lineRule="auto"/>
              <w:jc w:val="right"/>
            </w:pPr>
            <w:r>
              <w:rPr>
                <w:rFonts w:ascii="Arial" w:hAnsi="Arial" w:eastAsia="Arial" w:cs="Arial"/>
                <w:b w:val="0"/>
                <w:i w:val="0"/>
                <w:color w:val="1D2730"/>
                <w:sz w:val="14"/>
                <w:rtl/>
              </w:rPr>
              <w:t>قبل اعتماد المحتوى</w:t>
            </w:r>
          </w:p>
        </w:tc>
      </w:tr>
      <w:tr>
        <w:trPr>
          <w:cantSplit/>
        </w:trPr>
        <w:tc>
          <w:tcPr>
            <w:tcW w:type="dxa" w:w="900"/>
            <w:tcMar>
              <w:top w:w="55" w:type="dxa"/>
              <w:start w:w="120" w:type="dxa"/>
              <w:bottom w:w="55" w:type="dxa"/>
              <w:end w:w="120" w:type="dxa"/>
            </w:tcMar>
            <w:vAlign w:val="center"/>
            <w:shd w:fill="F5F7F9" w:val="clear"/>
          </w:tcPr>
          <w:p>
            <w:pPr>
              <w:keepNext w:val="0"/>
              <w:keepLines/>
              <w:bidi/>
              <w:spacing w:before="0" w:after="0" w:line="252" w:lineRule="auto"/>
              <w:jc w:val="center"/>
            </w:pPr>
            <w:r>
              <w:rPr>
                <w:rFonts w:ascii="Arial" w:hAnsi="Arial" w:eastAsia="Arial" w:cs="Arial"/>
                <w:b/>
                <w:i w:val="0"/>
                <w:color w:val="1D2730"/>
                <w:sz w:val="14"/>
                <w:rtl/>
              </w:rPr>
              <w:t>D12</w:t>
            </w:r>
          </w:p>
        </w:tc>
        <w:tc>
          <w:tcPr>
            <w:tcW w:type="dxa" w:w="720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هل الشهادة أو صفة الخريج أو قاعدة المواهب لها أثر إداري رسمي؟</w:t>
            </w:r>
          </w:p>
        </w:tc>
        <w:tc>
          <w:tcPr>
            <w:tcW w:type="dxa" w:w="2220"/>
            <w:tcMar>
              <w:top w:w="55" w:type="dxa"/>
              <w:start w:w="120" w:type="dxa"/>
              <w:bottom w:w="55" w:type="dxa"/>
              <w:end w:w="120" w:type="dxa"/>
            </w:tcMar>
            <w:vAlign w:val="center"/>
            <w:shd w:fill="F5F7F9" w:val="clear"/>
          </w:tcPr>
          <w:p>
            <w:pPr>
              <w:keepNext w:val="0"/>
              <w:keepLines/>
              <w:bidi/>
              <w:spacing w:before="0" w:after="0" w:line="252" w:lineRule="auto"/>
              <w:jc w:val="right"/>
            </w:pPr>
            <w:r>
              <w:rPr>
                <w:rFonts w:ascii="Arial" w:hAnsi="Arial" w:eastAsia="Arial" w:cs="Arial"/>
                <w:b w:val="0"/>
                <w:i w:val="0"/>
                <w:color w:val="1D2730"/>
                <w:sz w:val="14"/>
                <w:rtl/>
              </w:rPr>
              <w:t>قبل بناء التخرج</w:t>
            </w:r>
          </w:p>
        </w:tc>
      </w:tr>
    </w:tbl>
    <w:p>
      <w:pPr>
        <w:keepNext w:val="0"/>
        <w:keepLines w:val="0"/>
        <w:bidi/>
        <w:spacing w:before="0" w:after="20" w:line="247" w:lineRule="auto"/>
        <w:jc w:val="right"/>
      </w:pPr>
    </w:p>
    <w:p>
      <w:pPr>
        <w:pStyle w:val="Heading1"/>
        <w:keepNext/>
        <w:keepLines w:val="0"/>
        <w:bidi/>
        <w:spacing w:before="300" w:after="140" w:line="240" w:lineRule="auto"/>
        <w:jc w:val="right"/>
      </w:pPr>
      <w:r>
        <w:rPr>
          <w:rFonts w:ascii="Arial" w:hAnsi="Arial" w:eastAsia="Arial" w:cs="Arial"/>
          <w:b/>
          <w:i w:val="0"/>
          <w:color w:val="0A1C2B"/>
          <w:sz w:val="31"/>
          <w:rtl/>
        </w:rPr>
        <w:t>15. التوصية والقرار المطلوب</w:t>
      </w:r>
    </w:p>
    <w:tbl>
      <w:tblPr>
        <w:tblW w:type="dxa" w:w="10320"/>
        <w:jc w:val="center"/>
        <w:tblLayout w:type="fixed"/>
        <w:tblLook w:firstColumn="1" w:firstRow="1" w:lastColumn="0" w:lastRow="0" w:noHBand="0" w:noVBand="1" w:val="04A0"/>
        <w:tblInd w:w="120" w:type="dxa"/>
        <w:bidiVisual/>
        <w:tblBorders>
          <w:top w:val="single" w:sz="7" w:space="0" w:color="2C6B4F"/>
          <w:start w:val="single" w:sz="7" w:space="0" w:color="2C6B4F"/>
          <w:bottom w:val="single" w:sz="7" w:space="0" w:color="2C6B4F"/>
          <w:end w:val="single" w:sz="7" w:space="0" w:color="2C6B4F"/>
        </w:tblBorders>
      </w:tblPr>
      <w:tblGrid>
        <w:gridCol w:w="10320"/>
      </w:tblGrid>
      <w:tr>
        <w:tc>
          <w:tcPr>
            <w:tcW w:type="dxa" w:w="10320"/>
            <w:tcMar>
              <w:top w:w="55" w:type="dxa"/>
              <w:start w:w="120" w:type="dxa"/>
              <w:bottom w:w="55" w:type="dxa"/>
              <w:end w:w="120" w:type="dxa"/>
            </w:tcMar>
            <w:vAlign w:val="center"/>
            <w:shd w:fill="EAF4EE" w:val="clear"/>
          </w:tcPr>
          <w:p>
            <w:pPr>
              <w:keepNext w:val="0"/>
              <w:keepLines/>
              <w:bidi/>
              <w:spacing w:before="0" w:after="40" w:line="259" w:lineRule="auto"/>
              <w:jc w:val="right"/>
            </w:pPr>
            <w:r>
              <w:rPr>
                <w:rFonts w:ascii="Arial" w:hAnsi="Arial" w:eastAsia="Arial" w:cs="Arial"/>
                <w:b/>
                <w:i w:val="0"/>
                <w:color w:val="2C6B4F"/>
                <w:sz w:val="18"/>
                <w:rtl/>
              </w:rPr>
              <w:t xml:space="preserve">التوصية:  </w:t>
            </w:r>
            <w:r>
              <w:rPr>
                <w:rFonts w:ascii="Arial" w:hAnsi="Arial" w:eastAsia="Arial" w:cs="Arial"/>
                <w:b w:val="0"/>
                <w:i w:val="0"/>
                <w:color w:val="1D2730"/>
                <w:sz w:val="17"/>
                <w:rtl/>
              </w:rPr>
              <w:t>اعتماد هذا المخطط أساسًا لبناء SAMT 5.0 Functional Demonstrator مع الحفاظ على هوية SAMT 4.0 وإعادة هندسة التجربة حول القرار والأدوار والأدلة. يبدأ البناء بعد تثبيت القرارات D01–D04 مبدئيًا، وتبقى جميع بيانات العرض اصطناعية.</w:t>
            </w:r>
          </w:p>
        </w:tc>
      </w:tr>
    </w:tbl>
    <w:p>
      <w:pPr>
        <w:keepNext w:val="0"/>
        <w:keepLines w:val="0"/>
        <w:bidi/>
        <w:spacing w:before="0" w:after="20" w:line="247" w:lineRule="auto"/>
        <w:jc w:val="right"/>
      </w:pPr>
    </w:p>
    <w:p>
      <w:pPr>
        <w:pStyle w:val="Heading2"/>
        <w:keepNext/>
        <w:keepLines w:val="0"/>
        <w:bidi/>
        <w:spacing w:before="200" w:after="100" w:line="240" w:lineRule="auto"/>
        <w:jc w:val="right"/>
      </w:pPr>
      <w:r>
        <w:rPr>
          <w:rFonts w:ascii="Arial" w:hAnsi="Arial" w:eastAsia="Arial" w:cs="Arial"/>
          <w:b/>
          <w:i w:val="0"/>
          <w:color w:val="17364A"/>
          <w:sz w:val="25"/>
          <w:rtl/>
        </w:rPr>
        <w:t>15.1 ما يُعتمد الآن</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النطاق الوظيفي والأدوار والرحلة والوحدات والشاشات كما في هذه الوثيقة، مع التعديل بعد المراجعة.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بناء نموذج عرض يعمل من البداية إلى النهاية ببيانات اصطناعية وقابل لإعادة الضبط.</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إعداد نظام تصميم وواجهات عربية/إنجليزية تحافظ على هوية سَمْت وتزيد إقناع صاحب القرار.</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استخدام معايير القبول AC-D01 إلى AC-D12 كشرط عرض النسخة الجديدة.</w:t>
      </w:r>
    </w:p>
    <w:p>
      <w:pPr>
        <w:pStyle w:val="Heading2"/>
        <w:keepNext/>
        <w:keepLines w:val="0"/>
        <w:bidi/>
        <w:spacing w:before="200" w:after="100" w:line="240" w:lineRule="auto"/>
        <w:jc w:val="right"/>
      </w:pPr>
      <w:r>
        <w:rPr>
          <w:rFonts w:ascii="Arial" w:hAnsi="Arial" w:eastAsia="Arial" w:cs="Arial"/>
          <w:b/>
          <w:i w:val="0"/>
          <w:color w:val="17364A"/>
          <w:sz w:val="25"/>
          <w:rtl/>
        </w:rPr>
        <w:t>15.2 ما لا يُعتمد الآن</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الإنتاج، أو استخدام بيانات الموظفين، أو بدء الترشيحات، أو إصدار قرارات فعلية.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أي استضافة أو تكامل أو وصول من خارج الوزارة أو التزام مالي.</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نهائي للأرقام والمعايير أو الجهات والمحطات أو أداة التقييم.</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اختيار تقنية أو مورد أو إدخال ذكاء اصطناعي في قرارات الأهلية والاختيار.</w:t>
      </w:r>
    </w:p>
    <w:p>
      <w:pPr>
        <w:pStyle w:val="Heading2"/>
        <w:keepNext/>
        <w:keepLines w:val="0"/>
        <w:bidi/>
        <w:spacing w:before="200" w:after="100" w:line="240" w:lineRule="auto"/>
        <w:jc w:val="right"/>
      </w:pPr>
      <w:r>
        <w:rPr>
          <w:rFonts w:ascii="Arial" w:hAnsi="Arial" w:eastAsia="Arial" w:cs="Arial"/>
          <w:b/>
          <w:i w:val="0"/>
          <w:color w:val="17364A"/>
          <w:sz w:val="25"/>
          <w:rtl/>
        </w:rPr>
        <w:t>15.3 مخرج المرحلة التالية</w:t>
      </w:r>
    </w:p>
    <w:p>
      <w:pPr>
        <w:keepNext w:val="0"/>
        <w:keepLines w:val="0"/>
        <w:bidi/>
        <w:spacing w:before="0" w:after="110" w:line="269" w:lineRule="auto"/>
        <w:jc w:val="right"/>
      </w:pPr>
      <w:r>
        <w:rPr>
          <w:rFonts w:ascii="Arial" w:hAnsi="Arial" w:eastAsia="Arial" w:cs="Arial"/>
          <w:b w:val="0"/>
          <w:i w:val="0"/>
          <w:color w:val="1D2730"/>
          <w:sz w:val="18"/>
          <w:rtl/>
        </w:rPr>
        <w:t>بعد اعتماد النطاق، يكون المخرج التالي «حزمة تصميم وتجربة SAMT 5.0» وتشمل: خريطة الموقع، رحلات الأدوار، نماذج الشاشات، نظام التصميم، نموذج البيانات، قواعد الحالات، سيناريو العرض، وسجل تتبع يربط كل متطلب بشاشة واختبار.</w:t>
      </w:r>
    </w:p>
    <w:p>
      <w:pPr>
        <w:pStyle w:val="Heading1"/>
        <w:keepNext/>
        <w:keepLines w:val="0"/>
        <w:bidi/>
        <w:spacing w:before="300" w:after="140" w:line="240" w:lineRule="auto"/>
        <w:jc w:val="right"/>
      </w:pPr>
      <w:r>
        <w:rPr>
          <w:rFonts w:ascii="Arial" w:hAnsi="Arial" w:eastAsia="Arial" w:cs="Arial"/>
          <w:b/>
          <w:i w:val="0"/>
          <w:color w:val="0A1C2B"/>
          <w:sz w:val="31"/>
          <w:rtl/>
        </w:rPr>
        <w:t>الملحق أ — المراجع الضابطة</w:t>
      </w:r>
    </w:p>
    <w:p>
      <w:pPr>
        <w:keepNext w:val="0"/>
        <w:keepLines w:val="0"/>
        <w:bidi/>
        <w:spacing w:before="0" w:after="110" w:line="269" w:lineRule="auto"/>
        <w:jc w:val="right"/>
      </w:pPr>
      <w:r>
        <w:rPr>
          <w:rFonts w:ascii="Arial" w:hAnsi="Arial" w:eastAsia="Arial" w:cs="Arial"/>
          <w:b w:val="0"/>
          <w:i w:val="0"/>
          <w:color w:val="1D2730"/>
          <w:sz w:val="18"/>
          <w:rtl/>
        </w:rPr>
        <w:t>تستخدم المراجع التالية لتوجيه المتطلبات، ولا تُعد وحدها إقرارًا بالانطباق أو الامتثال. سياسات الوزارة وتعليمات الأمن والبيانات والسجلات والبنية الأكثر تحديدًا أو تشددًا هي المرجع الأعلى للنسخة التشغيلية.</w:t>
      </w:r>
    </w:p>
    <w:p>
      <w:pPr>
        <w:keepNext w:val="0"/>
        <w:keepLines/>
        <w:bidi/>
        <w:spacing w:before="0" w:after="20" w:line="252" w:lineRule="auto"/>
        <w:jc w:val="right"/>
      </w:pPr>
      <w:r>
        <w:rPr>
          <w:rFonts w:ascii="Arial" w:hAnsi="Arial" w:eastAsia="Arial" w:cs="Arial"/>
          <w:b/>
          <w:i w:val="0"/>
          <w:color w:val="17364A"/>
          <w:sz w:val="18"/>
          <w:rtl/>
        </w:rPr>
        <w:t>المنصة الرسمية لحكومة دولة الإمارات — حماية البيانات</w:t>
      </w:r>
    </w:p>
    <w:p>
      <w:pPr>
        <w:keepNext w:val="0"/>
        <w:keepLines/>
        <w:bidi/>
        <w:spacing w:before="0" w:after="20" w:line="252" w:lineRule="auto"/>
        <w:jc w:val="right"/>
      </w:pPr>
      <w:r>
        <w:rPr>
          <w:rFonts w:ascii="Arial" w:hAnsi="Arial" w:eastAsia="Arial" w:cs="Arial"/>
          <w:b w:val="0"/>
          <w:i w:val="0"/>
          <w:color w:val="1D2730"/>
          <w:sz w:val="17"/>
          <w:rtl/>
        </w:rPr>
        <w:t>مرجع عام لقانون حماية البيانات الشخصية ومبادئ حماية الخصوصية؛ يلزم التحقق القانوني المؤسسي من نطاق التطبيق.</w:t>
      </w:r>
    </w:p>
    <w:p>
      <w:pPr>
        <w:keepNext w:val="0"/>
        <w:keepLines/>
        <w:spacing w:before="0" w:after="100" w:line="240" w:lineRule="auto"/>
        <w:jc w:val="left"/>
      </w:pPr>
      <w:hyperlink r:id="rId11">
        <w:r>
          <w:rPr>
            <w:rFonts w:ascii="Arial" w:hAnsi="Arial" w:eastAsia="Arial" w:cs="Arial"/>
            <w:color w:val="2E5E8C"/>
            <w:u w:val="single"/>
            <w:sz w:val="14"/>
            <w:szCs w:val="14"/>
          </w:rPr>
          <w:t>Official source</w:t>
        </w:r>
      </w:hyperlink>
    </w:p>
    <w:p>
      <w:pPr>
        <w:keepNext w:val="0"/>
        <w:keepLines/>
        <w:bidi/>
        <w:spacing w:before="0" w:after="20" w:line="252" w:lineRule="auto"/>
        <w:jc w:val="right"/>
      </w:pPr>
      <w:r>
        <w:rPr>
          <w:rFonts w:ascii="Arial" w:hAnsi="Arial" w:eastAsia="Arial" w:cs="Arial"/>
          <w:b/>
          <w:i w:val="0"/>
          <w:color w:val="17364A"/>
          <w:sz w:val="18"/>
          <w:rtl/>
        </w:rPr>
        <w:t>TDRA — UAE Information Assurance Regulation v1.1</w:t>
      </w:r>
    </w:p>
    <w:p>
      <w:pPr>
        <w:keepNext w:val="0"/>
        <w:keepLines/>
        <w:bidi/>
        <w:spacing w:before="0" w:after="20" w:line="252" w:lineRule="auto"/>
        <w:jc w:val="right"/>
      </w:pPr>
      <w:r>
        <w:rPr>
          <w:rFonts w:ascii="Arial" w:hAnsi="Arial" w:eastAsia="Arial" w:cs="Arial"/>
          <w:b w:val="0"/>
          <w:i w:val="0"/>
          <w:color w:val="1D2730"/>
          <w:sz w:val="17"/>
          <w:rtl/>
        </w:rPr>
        <w:t>مرجع وطني قائم على المخاطر لضوابط ضمان المعلومات، بما فيها التحكم في الوصول والفصل والمراجعة.</w:t>
      </w:r>
    </w:p>
    <w:p>
      <w:pPr>
        <w:keepNext w:val="0"/>
        <w:keepLines/>
        <w:spacing w:before="0" w:after="100" w:line="240" w:lineRule="auto"/>
        <w:jc w:val="left"/>
      </w:pPr>
      <w:hyperlink r:id="rId12">
        <w:r>
          <w:rPr>
            <w:rFonts w:ascii="Arial" w:hAnsi="Arial" w:eastAsia="Arial" w:cs="Arial"/>
            <w:color w:val="2E5E8C"/>
            <w:u w:val="single"/>
            <w:sz w:val="14"/>
            <w:szCs w:val="14"/>
          </w:rPr>
          <w:t>Official source</w:t>
        </w:r>
      </w:hyperlink>
    </w:p>
    <w:p>
      <w:pPr>
        <w:keepNext w:val="0"/>
        <w:keepLines/>
        <w:bidi/>
        <w:spacing w:before="0" w:after="20" w:line="252" w:lineRule="auto"/>
        <w:jc w:val="right"/>
      </w:pPr>
      <w:r>
        <w:rPr>
          <w:rFonts w:ascii="Arial" w:hAnsi="Arial" w:eastAsia="Arial" w:cs="Arial"/>
          <w:b/>
          <w:i w:val="0"/>
          <w:color w:val="17364A"/>
          <w:sz w:val="18"/>
          <w:rtl/>
        </w:rPr>
        <w:t>W3C — Web Content Accessibility Guidelines (WCAG) 2.2</w:t>
      </w:r>
    </w:p>
    <w:p>
      <w:pPr>
        <w:keepNext w:val="0"/>
        <w:keepLines/>
        <w:bidi/>
        <w:spacing w:before="0" w:after="20" w:line="252" w:lineRule="auto"/>
        <w:jc w:val="right"/>
      </w:pPr>
      <w:r>
        <w:rPr>
          <w:rFonts w:ascii="Arial" w:hAnsi="Arial" w:eastAsia="Arial" w:cs="Arial"/>
          <w:b w:val="0"/>
          <w:i w:val="0"/>
          <w:color w:val="1D2730"/>
          <w:sz w:val="17"/>
          <w:rtl/>
        </w:rPr>
        <w:t>المرجع المستهدف لإمكانية الوصول الرقمي بمستوى AA.</w:t>
      </w:r>
    </w:p>
    <w:p>
      <w:pPr>
        <w:keepNext w:val="0"/>
        <w:keepLines/>
        <w:spacing w:before="0" w:after="100" w:line="240" w:lineRule="auto"/>
        <w:jc w:val="left"/>
      </w:pPr>
      <w:hyperlink r:id="rId13">
        <w:r>
          <w:rPr>
            <w:rFonts w:ascii="Arial" w:hAnsi="Arial" w:eastAsia="Arial" w:cs="Arial"/>
            <w:color w:val="2E5E8C"/>
            <w:u w:val="single"/>
            <w:sz w:val="14"/>
            <w:szCs w:val="14"/>
          </w:rPr>
          <w:t>Official source</w:t>
        </w:r>
      </w:hyperlink>
    </w:p>
    <w:p>
      <w:pPr>
        <w:keepNext w:val="0"/>
        <w:keepLines/>
        <w:bidi/>
        <w:spacing w:before="0" w:after="20" w:line="252" w:lineRule="auto"/>
        <w:jc w:val="right"/>
      </w:pPr>
      <w:r>
        <w:rPr>
          <w:rFonts w:ascii="Arial" w:hAnsi="Arial" w:eastAsia="Arial" w:cs="Arial"/>
          <w:b/>
          <w:i w:val="0"/>
          <w:color w:val="17364A"/>
          <w:sz w:val="18"/>
          <w:rtl/>
        </w:rPr>
        <w:t>OWASP — Application Security Verification Standard 5.0.0</w:t>
      </w:r>
    </w:p>
    <w:p>
      <w:pPr>
        <w:keepNext w:val="0"/>
        <w:keepLines/>
        <w:bidi/>
        <w:spacing w:before="0" w:after="20" w:line="252" w:lineRule="auto"/>
        <w:jc w:val="right"/>
      </w:pPr>
      <w:r>
        <w:rPr>
          <w:rFonts w:ascii="Arial" w:hAnsi="Arial" w:eastAsia="Arial" w:cs="Arial"/>
          <w:b w:val="0"/>
          <w:i w:val="0"/>
          <w:color w:val="1D2730"/>
          <w:sz w:val="17"/>
          <w:rtl/>
        </w:rPr>
        <w:t>مرجع قابل للاختبار لمتطلبات أمن تطبيقات الويب والعقود والتحقق.</w:t>
      </w:r>
    </w:p>
    <w:p>
      <w:pPr>
        <w:keepNext w:val="0"/>
        <w:keepLines/>
        <w:spacing w:before="0" w:after="100" w:line="240" w:lineRule="auto"/>
        <w:jc w:val="left"/>
      </w:pPr>
      <w:hyperlink r:id="rId14">
        <w:r>
          <w:rPr>
            <w:rFonts w:ascii="Arial" w:hAnsi="Arial" w:eastAsia="Arial" w:cs="Arial"/>
            <w:color w:val="2E5E8C"/>
            <w:u w:val="single"/>
            <w:sz w:val="14"/>
            <w:szCs w:val="14"/>
          </w:rPr>
          <w:t>Official source</w:t>
        </w:r>
      </w:hyperlink>
    </w:p>
    <w:p>
      <w:pPr>
        <w:pStyle w:val="Heading1"/>
        <w:keepNext/>
        <w:keepLines w:val="0"/>
        <w:bidi/>
        <w:spacing w:before="300" w:after="140" w:line="240" w:lineRule="auto"/>
        <w:jc w:val="right"/>
      </w:pPr>
      <w:r>
        <w:rPr>
          <w:rFonts w:ascii="Arial" w:hAnsi="Arial" w:eastAsia="Arial" w:cs="Arial"/>
          <w:b/>
          <w:i w:val="0"/>
          <w:color w:val="0A1C2B"/>
          <w:sz w:val="31"/>
          <w:rtl/>
        </w:rPr>
        <w:t>الملحق ب — قائمة تحقق مراجعة الوثيقة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تعريف سَمْت ونطاقها على مستوى الوزارة.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تحديد الراعي ومالك البرنامج وسلطات القرار.</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تثبيت أو تعديل معايير 10 / 16 / 4 / 3 / 12.</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الأدوار وفصل المسؤوليات.</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رحلة الحالات والبوابات والاستثناءات.</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الشاشات والوحدات المطلوبة للنموذج.</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قاموس المؤشرات ومنهج إثبات الأثر.</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اعتماد حدود العرض العام والنسخة التشغيلية.</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تحديد القرارات D01–D12 وملاكها ومواعيدها.</w:t>
      </w:r>
    </w:p>
    <w:p>
      <w:pPr>
        <w:pStyle w:val="ListBullet"/>
        <w:keepNext w:val="0"/>
        <w:keepLines/>
        <w:bidi/>
        <w:spacing w:before="0" w:after="80" w:line="264" w:lineRule="auto"/>
        <w:ind w:right="397" w:hanging="227"/>
        <w:jc w:val="right"/>
      </w:pPr>
      <w:r>
        <w:rPr>
          <w:rFonts w:ascii="Arial" w:hAnsi="Arial" w:eastAsia="Arial" w:cs="Arial"/>
          <w:b w:val="0"/>
          <w:i w:val="0"/>
          <w:color w:val="1D2730"/>
          <w:sz w:val="18"/>
          <w:rtl/>
        </w:rPr>
        <w:t>تفويض بدء تصميم النموذج الوظيفي ومعايير قبوله.</w:t>
      </w:r>
    </w:p>
    <w:sectPr w:rsidR="00FC693F" w:rsidRPr="0006063C" w:rsidSect="00034616">
      <w:headerReference w:type="default" r:id="rId9"/>
      <w:footerReference w:type="default" r:id="rId10"/>
      <w:pgSz w:w="11906" w:h="16838"/>
      <w:pgMar w:top="794" w:right="794" w:bottom="794"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320"/>
      <w:jc w:val="center"/>
      <w:tblLayout w:type="fixed"/>
      <w:tblLook w:firstColumn="1" w:firstRow="1" w:lastColumn="0" w:lastRow="0" w:noHBand="0" w:noVBand="1" w:val="04A0"/>
      <w:tblInd w:w="0" w:type="dxa"/>
      <w:bidiVisual/>
      <w:tblBorders/>
    </w:tblPr>
    <w:tblGrid>
      <w:gridCol w:w="6800"/>
      <w:gridCol w:w="3520"/>
    </w:tblGrid>
    <w:tr>
      <w:tc>
        <w:tcPr>
          <w:tcW w:type="dxa" w:w="6800"/>
          <w:tcMar>
            <w:top w:w="55" w:type="dxa"/>
            <w:start w:w="120" w:type="dxa"/>
            <w:bottom w:w="55" w:type="dxa"/>
            <w:end w:w="120" w:type="dxa"/>
          </w:tcMar>
          <w:vAlign w:val="center"/>
        </w:tcPr>
        <w:p>
          <w:pPr>
            <w:keepNext w:val="0"/>
            <w:keepLines w:val="0"/>
            <w:bidi/>
            <w:spacing w:before="0" w:after="0" w:line="240" w:lineRule="auto"/>
            <w:jc w:val="right"/>
          </w:pPr>
          <w:r>
            <w:rPr>
              <w:rFonts w:ascii="Arial" w:hAnsi="Arial" w:eastAsia="Arial" w:cs="Arial"/>
              <w:b w:val="0"/>
              <w:i w:val="0"/>
              <w:color w:val="5F6B75"/>
              <w:sz w:val="13"/>
              <w:rtl/>
            </w:rPr>
            <w:t>مسودة نطاق | تطوير مفهوم داخلي | 24 يوليو 2026</w:t>
          </w:r>
        </w:p>
      </w:tc>
      <w:tc>
        <w:tcPr>
          <w:tcW w:type="dxa" w:w="3520"/>
          <w:tcMar>
            <w:top w:w="55" w:type="dxa"/>
            <w:start w:w="120" w:type="dxa"/>
            <w:bottom w:w="55" w:type="dxa"/>
            <w:end w:w="120" w:type="dxa"/>
          </w:tcMar>
          <w:vAlign w:val="center"/>
        </w:tcPr>
        <w:p>
          <w:pPr>
            <w:keepNext w:val="0"/>
            <w:keepLines w:val="0"/>
            <w:bidi/>
            <w:spacing w:before="0" w:after="0" w:line="240" w:lineRule="auto"/>
            <w:jc w:val="left"/>
          </w:pPr>
          <w:r>
            <w:rPr>
              <w:rFonts w:ascii="Arial" w:hAnsi="Arial" w:eastAsia="Arial" w:cs="Arial"/>
              <w:b w:val="0"/>
              <w:i w:val="0"/>
              <w:color w:val="5F6B75"/>
              <w:sz w:val="14"/>
              <w:rtl/>
            </w:rPr>
            <w:t xml:space="preserve">صفحة </w:t>
          </w:r>
          <w:r>
            <w:rPr>
              <w:rFonts w:ascii="Arial" w:hAnsi="Arial" w:eastAsia="Arial" w:cs="Arial"/>
              <w:b w:val="0"/>
              <w:i w:val="0"/>
              <w:color w:val="5F6B75"/>
              <w:sz w:val="14"/>
            </w:rPr>
            <w:fldChar w:fldCharType="begin"/>
            <w:instrText xml:space="preserve">PAGE</w:instrText>
            <w:fldChar w:fldCharType="separate"/>
            <w:t>1</w:t>
            <w:fldChar w:fldCharType="end"/>
          </w:r>
          <w:r>
            <w:rPr>
              <w:rFonts w:ascii="Arial" w:hAnsi="Arial" w:eastAsia="Arial" w:cs="Arial"/>
              <w:b w:val="0"/>
              <w:i w:val="0"/>
              <w:color w:val="5F6B75"/>
              <w:sz w:val="14"/>
              <w:rtl/>
            </w:rPr>
            <w:t xml:space="preserve"> من </w:t>
          </w:r>
          <w:r>
            <w:rPr>
              <w:rFonts w:ascii="Arial" w:hAnsi="Arial" w:eastAsia="Arial" w:cs="Arial"/>
              <w:b w:val="0"/>
              <w:i w:val="0"/>
              <w:color w:val="5F6B75"/>
              <w:sz w:val="14"/>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bidi/>
      <w:spacing w:before="0" w:after="0" w:line="240" w:lineRule="auto"/>
      <w:jc w:val="right"/>
    </w:pPr>
    <w:r>
      <w:rPr>
        <w:rFonts w:ascii="Arial" w:hAnsi="Arial" w:eastAsia="Arial" w:cs="Arial"/>
        <w:b/>
        <w:i w:val="0"/>
        <w:color w:val="5F6B75"/>
        <w:sz w:val="14"/>
        <w:rtl/>
      </w:rPr>
      <w:t>سَمْت | SAMT 5.0 — مخطط النطاق الوظيفي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69" w:lineRule="auto"/>
    </w:pPr>
    <w:rPr>
      <w:rFonts w:ascii="Arial" w:hAnsi="Arial" w:cs="Arial"/>
      <w:color w:val="1D2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40" w:lineRule="auto"/>
      <w:outlineLvl w:val="0"/>
    </w:pPr>
    <w:rPr>
      <w:rFonts w:asciiTheme="majorHAnsi" w:eastAsiaTheme="majorEastAsia" w:hAnsiTheme="majorHAnsi" w:cstheme="majorBidi" w:ascii="Arial" w:hAnsi="Arial" w:cs="Arial"/>
      <w:b/>
      <w:bCs/>
      <w:color w:val="0A1C2B"/>
      <w:sz w:val="31"/>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Arial" w:hAnsi="Arial" w:cs="Arial"/>
      <w:b/>
      <w:bCs/>
      <w:color w:val="17364A"/>
      <w:sz w:val="25"/>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outlineLvl w:val="2"/>
    </w:pPr>
    <w:rPr>
      <w:rFonts w:asciiTheme="majorHAnsi" w:eastAsiaTheme="majorEastAsia" w:hAnsiTheme="majorHAnsi" w:cstheme="majorBidi" w:ascii="Arial" w:hAnsi="Arial" w:cs="Arial"/>
      <w:b/>
      <w:bCs/>
      <w:color w:val="7C64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64" w:lineRule="auto"/>
      <w:ind w:left="0" w:right="397" w:hanging="227"/>
      <w:contextualSpacing/>
    </w:pPr>
    <w:rPr>
      <w:rFonts w:ascii="Arial" w:hAnsi="Arial" w:cs="Arial"/>
      <w:color w:val="1D273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64" w:lineRule="auto"/>
      <w:ind w:left="0" w:right="397" w:hanging="227"/>
      <w:contextualSpacing/>
    </w:pPr>
    <w:rPr>
      <w:rFonts w:ascii="Arial" w:hAnsi="Arial" w:cs="Arial"/>
      <w:color w:val="1D273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MTNote">
    <w:name w:val="SAMT Note"/>
    <w:pPr>
      <w:spacing w:after="80" w:line="252" w:lineRule="auto"/>
    </w:pPr>
    <w:rPr>
      <w:rFonts w:ascii="Arial" w:hAnsi="Arial" w:cs="Arial"/>
      <w:color w:val="5F6B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ae/en/about-the-uae/digital-uae/data/data-protection-laws" TargetMode="External"/><Relationship Id="rId12" Type="http://schemas.openxmlformats.org/officeDocument/2006/relationships/hyperlink" Target="https://tdra.gov.ae/-/media/About/regulations-and-ruling/EN/UAE-Information-Assurance-Regulation-v1-1-pdf.ashx" TargetMode="External"/><Relationship Id="rId13" Type="http://schemas.openxmlformats.org/officeDocument/2006/relationships/hyperlink" Target="https://www.w3.org/TR/WCAG22/" TargetMode="External"/><Relationship Id="rId14" Type="http://schemas.openxmlformats.org/officeDocument/2006/relationships/hyperlink" Target="https://owasp.org/www-project-application-security-verification-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سَمْت | SAMT 5.0 — مخطط النطاق الوظيفي</dc:title>
  <dc:subject>مسودة نطاق لمنصة داخلية وبرهان وظيفي ببيانات اصطناعية</dc:subject>
  <dc:creator/>
  <cp:keywords>SAMT, Strategic Advancement, Management, Transformation, Functional Scope, Internal Fellowship</cp:keywords>
  <dc:description>generated by python-docx</dc:description>
  <cp:lastModifiedBy/>
  <cp:revision>1</cp:revision>
  <dcterms:created xsi:type="dcterms:W3CDTF">2013-12-23T23:15:00Z</dcterms:created>
  <dcterms:modified xsi:type="dcterms:W3CDTF">2013-12-23T23:15:00Z</dcterms:modified>
  <cp:category/>
</cp:coreProperties>
</file>