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bidi/>
        <w:spacing w:before="0" w:after="0" w:line="240" w:lineRule="auto"/>
        <w:jc w:val="right"/>
      </w:pPr>
      <w:r>
        <w:rPr>
          <w:rFonts w:ascii="Arial" w:hAnsi="Arial" w:eastAsia="Arial" w:cs="Arial"/>
          <w:b/>
          <w:i w:val="0"/>
          <w:color w:val="0A1C2B"/>
          <w:sz w:val="42"/>
          <w:rtl/>
        </w:rPr>
        <w:t>سَمْت | SAMT</w:t>
      </w:r>
    </w:p>
    <w:p>
      <w:pPr>
        <w:keepNext/>
        <w:keepLines w:val="0"/>
        <w:bidi/>
        <w:spacing w:before="0" w:after="20" w:line="240" w:lineRule="auto"/>
        <w:jc w:val="right"/>
      </w:pPr>
      <w:r>
        <w:rPr>
          <w:rFonts w:ascii="Arial" w:hAnsi="Arial" w:eastAsia="Arial" w:cs="Arial"/>
          <w:b/>
          <w:i w:val="0"/>
          <w:color w:val="7C642F"/>
          <w:sz w:val="23"/>
          <w:rtl/>
        </w:rPr>
        <w:t>حالة الاعتماد التنفيذي — المرحلة الأولى</w:t>
      </w:r>
    </w:p>
    <w:p>
      <w:pPr>
        <w:keepNext/>
        <w:keepLines w:val="0"/>
        <w:spacing w:before="0" w:after="40" w:line="240" w:lineRule="auto"/>
        <w:jc w:val="right"/>
      </w:pPr>
      <w:r>
        <w:rPr>
          <w:rFonts w:ascii="Arial" w:hAnsi="Arial" w:eastAsia="Arial" w:cs="Arial"/>
          <w:b/>
          <w:i w:val="0"/>
          <w:color w:val="5F6B75"/>
          <w:sz w:val="15"/>
        </w:rPr>
        <w:t>Strategic Advancement, Management &amp; Transformation</w:t>
      </w:r>
    </w:p>
    <w:p>
      <w:pPr>
        <w:keepNext/>
        <w:keepLines w:val="0"/>
        <w:bidi/>
        <w:spacing w:before="0" w:after="80" w:line="240" w:lineRule="auto"/>
        <w:jc w:val="right"/>
      </w:pPr>
      <w:r>
        <w:rPr>
          <w:rFonts w:ascii="Arial" w:hAnsi="Arial" w:eastAsia="Arial" w:cs="Arial"/>
          <w:b w:val="0"/>
          <w:i w:val="0"/>
          <w:color w:val="1D2730"/>
          <w:sz w:val="17"/>
          <w:rtl/>
        </w:rPr>
        <w:t>زمالة داخلية انتقائية لإعداد موظفين ذوي إمكانات عالية للمساهمة في الارتقاء الاستراتيجي، وتعزيز فاعلية الإدارة، وقيادة التحول المؤسسي.</w:t>
      </w:r>
    </w:p>
    <w:tbl>
      <w:tblPr>
        <w:tblW w:type="dxa" w:w="10320"/>
        <w:jc w:val="center"/>
        <w:tblLayout w:type="fixed"/>
        <w:tblLook w:firstColumn="1" w:firstRow="1" w:lastColumn="0" w:lastRow="0" w:noHBand="0" w:noVBand="1" w:val="04A0"/>
        <w:tblInd w:w="120" w:type="dxa"/>
        <w:bidiVisual/>
        <w:tblBorders>
          <w:top w:val="single" w:sz="3" w:space="0" w:color="E8ECF1"/>
          <w:start w:val="single" w:sz="3" w:space="0" w:color="E8ECF1"/>
          <w:bottom w:val="single" w:sz="3" w:space="0" w:color="E8ECF1"/>
          <w:end w:val="single" w:sz="3" w:space="0" w:color="E8ECF1"/>
          <w:insideH w:val="single" w:sz="3" w:space="0" w:color="E8ECF1"/>
          <w:insideV w:val="single" w:sz="3" w:space="0" w:color="E8ECF1"/>
        </w:tblBorders>
      </w:tblPr>
      <w:tblGrid>
        <w:gridCol w:w="3440"/>
        <w:gridCol w:w="3440"/>
        <w:gridCol w:w="3440"/>
      </w:tblGrid>
      <w:tr>
        <w:tc>
          <w:tcPr>
            <w:tcW w:type="dxa" w:w="3440"/>
            <w:tcMar>
              <w:top w:w="55" w:type="dxa"/>
              <w:start w:w="120" w:type="dxa"/>
              <w:bottom w:w="55" w:type="dxa"/>
              <w:end w:w="120" w:type="dxa"/>
            </w:tcMar>
            <w:vAlign w:val="center"/>
            <w:shd w:fill="EEF3F6" w:val="clear"/>
          </w:tcPr>
          <w:p>
            <w:pPr>
              <w:keepNext w:val="0"/>
              <w:keepLines/>
              <w:bidi/>
              <w:spacing w:before="0" w:after="0" w:line="240" w:lineRule="auto"/>
              <w:jc w:val="center"/>
            </w:pPr>
            <w:r>
              <w:rPr>
                <w:rFonts w:ascii="Arial" w:hAnsi="Arial" w:eastAsia="Arial" w:cs="Arial"/>
                <w:b/>
                <w:i w:val="0"/>
                <w:color w:val="5F6B75"/>
                <w:sz w:val="14"/>
                <w:rtl/>
              </w:rPr>
              <w:t xml:space="preserve">التصنيف  </w:t>
            </w:r>
            <w:r>
              <w:rPr>
                <w:rFonts w:ascii="Arial" w:hAnsi="Arial" w:eastAsia="Arial" w:cs="Arial"/>
                <w:b/>
                <w:i w:val="0"/>
                <w:color w:val="0A1C2B"/>
                <w:sz w:val="14"/>
                <w:rtl/>
              </w:rPr>
              <w:t>مسودة تطوير مفهوم</w:t>
            </w:r>
          </w:p>
        </w:tc>
        <w:tc>
          <w:tcPr>
            <w:tcW w:type="dxa" w:w="3440"/>
            <w:tcMar>
              <w:top w:w="55" w:type="dxa"/>
              <w:start w:w="120" w:type="dxa"/>
              <w:bottom w:w="55" w:type="dxa"/>
              <w:end w:w="120" w:type="dxa"/>
            </w:tcMar>
            <w:vAlign w:val="center"/>
            <w:shd w:fill="EEF3F6" w:val="clear"/>
          </w:tcPr>
          <w:p>
            <w:pPr>
              <w:keepNext w:val="0"/>
              <w:keepLines/>
              <w:bidi/>
              <w:spacing w:before="0" w:after="0" w:line="240" w:lineRule="auto"/>
              <w:jc w:val="center"/>
            </w:pPr>
            <w:r>
              <w:rPr>
                <w:rFonts w:ascii="Arial" w:hAnsi="Arial" w:eastAsia="Arial" w:cs="Arial"/>
                <w:b/>
                <w:i w:val="0"/>
                <w:color w:val="5F6B75"/>
                <w:sz w:val="14"/>
                <w:rtl/>
              </w:rPr>
              <w:t xml:space="preserve">النطاق  </w:t>
            </w:r>
            <w:r>
              <w:rPr>
                <w:rFonts w:ascii="Arial" w:hAnsi="Arial" w:eastAsia="Arial" w:cs="Arial"/>
                <w:b/>
                <w:i w:val="0"/>
                <w:color w:val="0A1C2B"/>
                <w:sz w:val="14"/>
                <w:rtl/>
              </w:rPr>
              <w:t>موظفو الوزارة</w:t>
            </w:r>
          </w:p>
        </w:tc>
        <w:tc>
          <w:tcPr>
            <w:tcW w:type="dxa" w:w="3440"/>
            <w:tcMar>
              <w:top w:w="55" w:type="dxa"/>
              <w:start w:w="120" w:type="dxa"/>
              <w:bottom w:w="55" w:type="dxa"/>
              <w:end w:w="120" w:type="dxa"/>
            </w:tcMar>
            <w:vAlign w:val="center"/>
            <w:shd w:fill="EEF3F6" w:val="clear"/>
          </w:tcPr>
          <w:p>
            <w:pPr>
              <w:keepNext w:val="0"/>
              <w:keepLines/>
              <w:bidi/>
              <w:spacing w:before="0" w:after="0" w:line="240" w:lineRule="auto"/>
              <w:jc w:val="center"/>
            </w:pPr>
            <w:r>
              <w:rPr>
                <w:rFonts w:ascii="Arial" w:hAnsi="Arial" w:eastAsia="Arial" w:cs="Arial"/>
                <w:b/>
                <w:i w:val="0"/>
                <w:color w:val="5F6B75"/>
                <w:sz w:val="14"/>
                <w:rtl/>
              </w:rPr>
              <w:t xml:space="preserve">القرار  </w:t>
            </w:r>
            <w:r>
              <w:rPr>
                <w:rFonts w:ascii="Arial" w:hAnsi="Arial" w:eastAsia="Arial" w:cs="Arial"/>
                <w:b/>
                <w:i w:val="0"/>
                <w:color w:val="0A1C2B"/>
                <w:sz w:val="14"/>
                <w:rtl/>
              </w:rPr>
              <w:t>موافقة مبدئية مشروطة</w:t>
            </w:r>
          </w:p>
        </w:tc>
      </w:tr>
    </w:tbl>
    <w:p>
      <w:pPr>
        <w:pStyle w:val="Heading1"/>
        <w:keepNext/>
        <w:keepLines w:val="0"/>
        <w:bidi/>
        <w:spacing w:before="50" w:after="30" w:line="240" w:lineRule="auto"/>
        <w:jc w:val="right"/>
      </w:pPr>
      <w:r>
        <w:rPr>
          <w:rFonts w:ascii="Arial" w:hAnsi="Arial" w:eastAsia="Arial" w:cs="Arial"/>
          <w:b/>
          <w:i w:val="0"/>
          <w:color w:val="0A1C2B"/>
          <w:sz w:val="20"/>
          <w:rtl/>
        </w:rPr>
        <w:t>الملخص التنفيذي</w:t>
      </w:r>
    </w:p>
    <w:tbl>
      <w:tblPr>
        <w:tblW w:type="dxa" w:w="10320"/>
        <w:jc w:val="center"/>
        <w:tblLayout w:type="fixed"/>
        <w:tblLook w:firstColumn="1" w:firstRow="1" w:lastColumn="0" w:lastRow="0" w:noHBand="0" w:noVBand="1" w:val="04A0"/>
        <w:tblInd w:w="120" w:type="dxa"/>
        <w:bidiVisual/>
        <w:tblBorders>
          <w:top w:val="single" w:sz="7" w:space="0" w:color="B89A5C"/>
          <w:start w:val="single" w:sz="7" w:space="0" w:color="B89A5C"/>
          <w:bottom w:val="single" w:sz="7" w:space="0" w:color="B89A5C"/>
          <w:end w:val="single" w:sz="7" w:space="0" w:color="B89A5C"/>
        </w:tblBorders>
      </w:tblPr>
      <w:tblGrid>
        <w:gridCol w:w="10320"/>
      </w:tblGrid>
      <w:tr>
        <w:tc>
          <w:tcPr>
            <w:tcW w:type="dxa" w:w="10320"/>
            <w:tcMar>
              <w:top w:w="55" w:type="dxa"/>
              <w:start w:w="120" w:type="dxa"/>
              <w:bottom w:w="55" w:type="dxa"/>
              <w:end w:w="120" w:type="dxa"/>
            </w:tcMar>
            <w:vAlign w:val="center"/>
            <w:shd w:fill="F7F2E7" w:val="clear"/>
          </w:tcPr>
          <w:p>
            <w:pPr>
              <w:keepNext w:val="0"/>
              <w:keepLines/>
              <w:bidi/>
              <w:spacing w:before="0" w:after="0" w:line="245" w:lineRule="auto"/>
              <w:jc w:val="right"/>
            </w:pPr>
            <w:r>
              <w:rPr>
                <w:rFonts w:ascii="Arial" w:hAnsi="Arial" w:eastAsia="Arial" w:cs="Arial"/>
                <w:b w:val="0"/>
                <w:i w:val="0"/>
                <w:color w:val="1D2730"/>
                <w:sz w:val="16"/>
                <w:rtl/>
              </w:rPr>
              <w:t>تقترح «سَمْت» مسارًا داخليًا انتقائيًا يربط اكتشاف الموظفين ذوي الإمكانات العالية بإعدادهم للمساهمة في الأدوار والمشروعات الاستراتيجية والتحولية. وهي ليست دورة تدريبية إضافية؛ بل زمالة تطبيقية تجمع التقييم، والتعلم التنفيذي، ومحطات الإعداد، والعمل على تحديات مؤسسية حقيقية، والمتابعة بعد البرنامج. والقيمة المقصودة هي بناء قاعدة كفاءات أكثر جاهزية لتحويل الأولويات إلى تنفيذ وقيادة التغيير، مع قياس الأثر في بيئة العمل.</w:t>
            </w:r>
          </w:p>
        </w:tc>
      </w:tr>
    </w:tbl>
    <w:p>
      <w:pPr>
        <w:pStyle w:val="Heading1"/>
        <w:keepNext/>
        <w:keepLines w:val="0"/>
        <w:bidi/>
        <w:spacing w:before="50" w:after="30" w:line="240" w:lineRule="auto"/>
        <w:jc w:val="right"/>
      </w:pPr>
      <w:r>
        <w:rPr>
          <w:rFonts w:ascii="Arial" w:hAnsi="Arial" w:eastAsia="Arial" w:cs="Arial"/>
          <w:b/>
          <w:i w:val="0"/>
          <w:color w:val="0A1C2B"/>
          <w:sz w:val="20"/>
          <w:rtl/>
        </w:rPr>
        <w:t>الحاجة المؤسسية التي تستهدفها المبادرة</w:t>
      </w:r>
    </w:p>
    <w:p>
      <w:pPr>
        <w:keepNext w:val="0"/>
        <w:keepLines/>
        <w:bidi/>
        <w:spacing w:before="0" w:after="40" w:line="240" w:lineRule="auto"/>
        <w:jc w:val="right"/>
      </w:pPr>
      <w:r>
        <w:rPr>
          <w:rFonts w:ascii="Arial" w:hAnsi="Arial" w:eastAsia="Arial" w:cs="Arial"/>
          <w:b w:val="0"/>
          <w:i w:val="0"/>
          <w:color w:val="1D2730"/>
          <w:sz w:val="16"/>
          <w:rtl/>
        </w:rPr>
        <w:t>المشكلة المقترحة ليست نقص الأنشطة التدريبية، بل غياب مسار يقيس الصلة بين الإمكانات القيادية والخبرة التطبيقية والتفاعل مع القيادات والقدرة على إنجاز تحول. وتزداد أهمية هذا المسار مع تداخل الأولويات الاستراتيجية ومبادرات التحول عبر القطاعات؛ إذ قد يؤدي غيابه إلى تفاوت الجاهزية وضعف تحويل التعلم إلى نتائج. وهذه فرضية استراتيجية يجب تأييدها بخط أساس قبل اعتماد التجربة.</w:t>
      </w:r>
    </w:p>
    <w:p>
      <w:pPr>
        <w:pStyle w:val="Heading1"/>
        <w:keepNext/>
        <w:keepLines w:val="0"/>
        <w:bidi/>
        <w:spacing w:before="50" w:after="30" w:line="240" w:lineRule="auto"/>
        <w:jc w:val="right"/>
      </w:pPr>
      <w:r>
        <w:rPr>
          <w:rFonts w:ascii="Arial" w:hAnsi="Arial" w:eastAsia="Arial" w:cs="Arial"/>
          <w:b/>
          <w:i w:val="0"/>
          <w:color w:val="0A1C2B"/>
          <w:sz w:val="20"/>
          <w:rtl/>
        </w:rPr>
        <w:t>كيف يستجيب «سَمْت»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350"/>
        <w:gridCol w:w="3850"/>
        <w:gridCol w:w="4120"/>
      </w:tblGrid>
      <w:tr>
        <w:trPr>
          <w:tblHeader w:val="true"/>
        </w:trPr>
        <w:tc>
          <w:tcPr>
            <w:tcW w:type="dxa" w:w="23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الركيزة</w:t>
            </w:r>
          </w:p>
        </w:tc>
        <w:tc>
          <w:tcPr>
            <w:tcW w:type="dxa" w:w="38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ما الذي تبنيه</w:t>
            </w:r>
          </w:p>
        </w:tc>
        <w:tc>
          <w:tcPr>
            <w:tcW w:type="dxa" w:w="41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النتيجة المؤسسية المقصودة</w:t>
            </w:r>
          </w:p>
        </w:tc>
      </w:tr>
      <w:tr>
        <w:tc>
          <w:tcPr>
            <w:tcW w:type="dxa" w:w="235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i w:val="0"/>
                <w:color w:val="1D2730"/>
                <w:sz w:val="14"/>
                <w:rtl/>
              </w:rPr>
              <w:t>الارتقاء الاستراتيجي</w:t>
            </w:r>
          </w:p>
        </w:tc>
        <w:tc>
          <w:tcPr>
            <w:tcW w:type="dxa" w:w="385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val="0"/>
                <w:i w:val="0"/>
                <w:color w:val="1D2730"/>
                <w:sz w:val="14"/>
                <w:rtl/>
              </w:rPr>
              <w:t>قراءة السياق، تحديد الأولويات، وصياغة الخيارات</w:t>
            </w:r>
          </w:p>
        </w:tc>
        <w:tc>
          <w:tcPr>
            <w:tcW w:type="dxa" w:w="412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val="0"/>
                <w:i w:val="0"/>
                <w:color w:val="1D2730"/>
                <w:sz w:val="14"/>
                <w:rtl/>
              </w:rPr>
              <w:t>قرارات ومبادرات أكثر اتساقًا مع توجه الوزارة</w:t>
            </w:r>
          </w:p>
        </w:tc>
      </w:tr>
      <w:tr>
        <w:tc>
          <w:tcPr>
            <w:tcW w:type="dxa" w:w="235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i w:val="0"/>
                <w:color w:val="1D2730"/>
                <w:sz w:val="14"/>
                <w:rtl/>
              </w:rPr>
              <w:t>الإدارة</w:t>
            </w:r>
          </w:p>
        </w:tc>
        <w:tc>
          <w:tcPr>
            <w:tcW w:type="dxa" w:w="385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val="0"/>
                <w:i w:val="0"/>
                <w:color w:val="1D2730"/>
                <w:sz w:val="14"/>
                <w:rtl/>
              </w:rPr>
              <w:t>إدارة الأداء والموارد والمخاطر والعمل المشترك</w:t>
            </w:r>
          </w:p>
        </w:tc>
        <w:tc>
          <w:tcPr>
            <w:tcW w:type="dxa" w:w="412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val="0"/>
                <w:i w:val="0"/>
                <w:color w:val="1D2730"/>
                <w:sz w:val="14"/>
                <w:rtl/>
              </w:rPr>
              <w:t>تنفيذ أكثر انضباطًا ووضوحًا للمساءلة</w:t>
            </w:r>
          </w:p>
        </w:tc>
      </w:tr>
      <w:tr>
        <w:tc>
          <w:tcPr>
            <w:tcW w:type="dxa" w:w="235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i w:val="0"/>
                <w:color w:val="1D2730"/>
                <w:sz w:val="14"/>
                <w:rtl/>
              </w:rPr>
              <w:t>التحول</w:t>
            </w:r>
          </w:p>
        </w:tc>
        <w:tc>
          <w:tcPr>
            <w:tcW w:type="dxa" w:w="385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val="0"/>
                <w:i w:val="0"/>
                <w:color w:val="1D2730"/>
                <w:sz w:val="14"/>
                <w:rtl/>
              </w:rPr>
              <w:t>قيادة التغيير والابتكار والتحسين القائم على البيانات</w:t>
            </w:r>
          </w:p>
        </w:tc>
        <w:tc>
          <w:tcPr>
            <w:tcW w:type="dxa" w:w="412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val="0"/>
                <w:i w:val="0"/>
                <w:color w:val="1D2730"/>
                <w:sz w:val="14"/>
                <w:rtl/>
              </w:rPr>
              <w:t>تحويل الأولويات إلى نتائج قابلة للقياس والاستدامة</w:t>
            </w:r>
          </w:p>
        </w:tc>
      </w:tr>
    </w:tbl>
    <w:p>
      <w:pPr>
        <w:keepNext w:val="0"/>
        <w:keepLines/>
        <w:bidi/>
        <w:spacing w:before="20" w:after="40" w:line="240" w:lineRule="auto"/>
        <w:jc w:val="right"/>
      </w:pPr>
      <w:r>
        <w:rPr>
          <w:rFonts w:ascii="Arial" w:hAnsi="Arial" w:eastAsia="Arial" w:cs="Arial"/>
          <w:b/>
          <w:i w:val="0"/>
          <w:color w:val="17364A"/>
          <w:sz w:val="15"/>
          <w:rtl/>
        </w:rPr>
        <w:t xml:space="preserve">ما يميز النموذج: </w:t>
      </w:r>
      <w:r>
        <w:rPr>
          <w:rFonts w:ascii="Arial" w:hAnsi="Arial" w:eastAsia="Arial" w:cs="Arial"/>
          <w:b w:val="0"/>
          <w:i w:val="0"/>
          <w:color w:val="1D2730"/>
          <w:sz w:val="15"/>
          <w:rtl/>
        </w:rPr>
        <w:t>انتقائية قائمة على الجدارة والإمكانات؛ تحديات مؤسسية تطبيقية بدل الاكتفاء بالحضور؛ تفاعل مباشر مع القيادات ومحطات إعداد؛ ومتابعة تربط التعلم بالأثر.</w:t>
      </w:r>
    </w:p>
    <w:p>
      <w:pPr>
        <w:pStyle w:val="Heading1"/>
        <w:keepNext/>
        <w:keepLines w:val="0"/>
        <w:bidi/>
        <w:spacing w:before="50" w:after="30" w:line="240" w:lineRule="auto"/>
        <w:jc w:val="right"/>
      </w:pPr>
      <w:r>
        <w:rPr>
          <w:rFonts w:ascii="Arial" w:hAnsi="Arial" w:eastAsia="Arial" w:cs="Arial"/>
          <w:b/>
          <w:i w:val="0"/>
          <w:color w:val="0A1C2B"/>
          <w:sz w:val="20"/>
          <w:rtl/>
        </w:rPr>
        <w:t>النموذج التجريبي المقترح</w:t>
      </w:r>
    </w:p>
    <w:tbl>
      <w:tblPr>
        <w:tblW w:type="dxa" w:w="10320"/>
        <w:jc w:val="center"/>
        <w:tblLayout w:type="fixed"/>
        <w:tblLook w:firstColumn="1" w:firstRow="1" w:lastColumn="0" w:lastRow="0" w:noHBand="0" w:noVBand="1" w:val="04A0"/>
        <w:tblInd w:w="120" w:type="dxa"/>
        <w:bidiVisual/>
        <w:tblBorders>
          <w:top w:val="single" w:sz="4" w:space="0" w:color="FFFFFF"/>
          <w:start w:val="single" w:sz="4" w:space="0" w:color="FFFFFF"/>
          <w:bottom w:val="single" w:sz="4" w:space="0" w:color="FFFFFF"/>
          <w:end w:val="single" w:sz="4" w:space="0" w:color="FFFFFF"/>
          <w:insideH w:val="single" w:sz="4" w:space="0" w:color="FFFFFF"/>
          <w:insideV w:val="single" w:sz="4" w:space="0" w:color="FFFFFF"/>
        </w:tblBorders>
      </w:tblPr>
      <w:tblGrid>
        <w:gridCol w:w="2064"/>
        <w:gridCol w:w="2064"/>
        <w:gridCol w:w="2064"/>
        <w:gridCol w:w="2064"/>
        <w:gridCol w:w="2064"/>
      </w:tblGrid>
      <w:tr>
        <w:tc>
          <w:tcPr>
            <w:tcW w:type="dxa" w:w="2064"/>
            <w:tcMar>
              <w:top w:w="55" w:type="dxa"/>
              <w:start w:w="120" w:type="dxa"/>
              <w:bottom w:w="55" w:type="dxa"/>
              <w:end w:w="120" w:type="dxa"/>
            </w:tcMar>
            <w:vAlign w:val="center"/>
            <w:shd w:fill="0A1C2B" w:val="clear"/>
          </w:tcPr>
          <w:p>
            <w:pPr>
              <w:keepNext w:val="0"/>
              <w:keepLines/>
              <w:bidi/>
              <w:spacing w:before="0" w:after="0" w:line="221" w:lineRule="auto"/>
              <w:jc w:val="center"/>
            </w:pPr>
            <w:r>
              <w:rPr>
                <w:rFonts w:ascii="Arial" w:hAnsi="Arial" w:eastAsia="Arial" w:cs="Arial"/>
                <w:b/>
                <w:i w:val="0"/>
                <w:color w:val="B89A5C"/>
                <w:sz w:val="25"/>
                <w:rtl/>
              </w:rPr>
              <w:t>10</w:t>
            </w:r>
          </w:p>
          <w:p>
            <w:pPr>
              <w:keepNext w:val="0"/>
              <w:keepLines/>
              <w:bidi/>
              <w:spacing w:before="0" w:after="0" w:line="221" w:lineRule="auto"/>
              <w:jc w:val="center"/>
            </w:pPr>
            <w:r>
              <w:rPr>
                <w:rFonts w:ascii="Arial" w:hAnsi="Arial" w:eastAsia="Arial" w:cs="Arial"/>
                <w:b/>
                <w:i w:val="0"/>
                <w:color w:val="FFFFFF"/>
                <w:sz w:val="13"/>
                <w:rtl/>
              </w:rPr>
              <w:t>زملاء</w:t>
            </w:r>
          </w:p>
        </w:tc>
        <w:tc>
          <w:tcPr>
            <w:tcW w:type="dxa" w:w="2064"/>
            <w:tcMar>
              <w:top w:w="55" w:type="dxa"/>
              <w:start w:w="120" w:type="dxa"/>
              <w:bottom w:w="55" w:type="dxa"/>
              <w:end w:w="120" w:type="dxa"/>
            </w:tcMar>
            <w:vAlign w:val="center"/>
            <w:shd w:fill="0A1C2B" w:val="clear"/>
          </w:tcPr>
          <w:p>
            <w:pPr>
              <w:keepNext w:val="0"/>
              <w:keepLines/>
              <w:bidi/>
              <w:spacing w:before="0" w:after="0" w:line="221" w:lineRule="auto"/>
              <w:jc w:val="center"/>
            </w:pPr>
            <w:r>
              <w:rPr>
                <w:rFonts w:ascii="Arial" w:hAnsi="Arial" w:eastAsia="Arial" w:cs="Arial"/>
                <w:b/>
                <w:i w:val="0"/>
                <w:color w:val="B89A5C"/>
                <w:sz w:val="25"/>
                <w:rtl/>
              </w:rPr>
              <w:t>16</w:t>
            </w:r>
          </w:p>
          <w:p>
            <w:pPr>
              <w:keepNext w:val="0"/>
              <w:keepLines/>
              <w:bidi/>
              <w:spacing w:before="0" w:after="0" w:line="221" w:lineRule="auto"/>
              <w:jc w:val="center"/>
            </w:pPr>
            <w:r>
              <w:rPr>
                <w:rFonts w:ascii="Arial" w:hAnsi="Arial" w:eastAsia="Arial" w:cs="Arial"/>
                <w:b/>
                <w:i w:val="0"/>
                <w:color w:val="FFFFFF"/>
                <w:sz w:val="13"/>
                <w:rtl/>
              </w:rPr>
              <w:t>أسبوعًا</w:t>
            </w:r>
          </w:p>
        </w:tc>
        <w:tc>
          <w:tcPr>
            <w:tcW w:type="dxa" w:w="2064"/>
            <w:tcMar>
              <w:top w:w="55" w:type="dxa"/>
              <w:start w:w="120" w:type="dxa"/>
              <w:bottom w:w="55" w:type="dxa"/>
              <w:end w:w="120" w:type="dxa"/>
            </w:tcMar>
            <w:vAlign w:val="center"/>
            <w:shd w:fill="0A1C2B" w:val="clear"/>
          </w:tcPr>
          <w:p>
            <w:pPr>
              <w:keepNext w:val="0"/>
              <w:keepLines/>
              <w:bidi/>
              <w:spacing w:before="0" w:after="0" w:line="221" w:lineRule="auto"/>
              <w:jc w:val="center"/>
            </w:pPr>
            <w:r>
              <w:rPr>
                <w:rFonts w:ascii="Arial" w:hAnsi="Arial" w:eastAsia="Arial" w:cs="Arial"/>
                <w:b/>
                <w:i w:val="0"/>
                <w:color w:val="B89A5C"/>
                <w:sz w:val="25"/>
                <w:rtl/>
              </w:rPr>
              <w:t>4</w:t>
            </w:r>
          </w:p>
          <w:p>
            <w:pPr>
              <w:keepNext w:val="0"/>
              <w:keepLines/>
              <w:bidi/>
              <w:spacing w:before="0" w:after="0" w:line="221" w:lineRule="auto"/>
              <w:jc w:val="center"/>
            </w:pPr>
            <w:r>
              <w:rPr>
                <w:rFonts w:ascii="Arial" w:hAnsi="Arial" w:eastAsia="Arial" w:cs="Arial"/>
                <w:b/>
                <w:i w:val="0"/>
                <w:color w:val="FFFFFF"/>
                <w:sz w:val="13"/>
                <w:rtl/>
              </w:rPr>
              <w:t>محطات إعداد وطنية ودولية</w:t>
            </w:r>
          </w:p>
        </w:tc>
        <w:tc>
          <w:tcPr>
            <w:tcW w:type="dxa" w:w="2064"/>
            <w:tcMar>
              <w:top w:w="55" w:type="dxa"/>
              <w:start w:w="120" w:type="dxa"/>
              <w:bottom w:w="55" w:type="dxa"/>
              <w:end w:w="120" w:type="dxa"/>
            </w:tcMar>
            <w:vAlign w:val="center"/>
            <w:shd w:fill="0A1C2B" w:val="clear"/>
          </w:tcPr>
          <w:p>
            <w:pPr>
              <w:keepNext w:val="0"/>
              <w:keepLines/>
              <w:bidi/>
              <w:spacing w:before="0" w:after="0" w:line="221" w:lineRule="auto"/>
              <w:jc w:val="center"/>
            </w:pPr>
            <w:r>
              <w:rPr>
                <w:rFonts w:ascii="Arial" w:hAnsi="Arial" w:eastAsia="Arial" w:cs="Arial"/>
                <w:b/>
                <w:i w:val="0"/>
                <w:color w:val="B89A5C"/>
                <w:sz w:val="25"/>
                <w:rtl/>
              </w:rPr>
              <w:t>3</w:t>
            </w:r>
          </w:p>
          <w:p>
            <w:pPr>
              <w:keepNext w:val="0"/>
              <w:keepLines/>
              <w:bidi/>
              <w:spacing w:before="0" w:after="0" w:line="221" w:lineRule="auto"/>
              <w:jc w:val="center"/>
            </w:pPr>
            <w:r>
              <w:rPr>
                <w:rFonts w:ascii="Arial" w:hAnsi="Arial" w:eastAsia="Arial" w:cs="Arial"/>
                <w:b/>
                <w:i w:val="0"/>
                <w:color w:val="FFFFFF"/>
                <w:sz w:val="13"/>
                <w:rtl/>
              </w:rPr>
              <w:t>مشروعات تطبيقية جماعية</w:t>
            </w:r>
          </w:p>
        </w:tc>
        <w:tc>
          <w:tcPr>
            <w:tcW w:type="dxa" w:w="2064"/>
            <w:tcMar>
              <w:top w:w="55" w:type="dxa"/>
              <w:start w:w="120" w:type="dxa"/>
              <w:bottom w:w="55" w:type="dxa"/>
              <w:end w:w="120" w:type="dxa"/>
            </w:tcMar>
            <w:vAlign w:val="center"/>
            <w:shd w:fill="0A1C2B" w:val="clear"/>
          </w:tcPr>
          <w:p>
            <w:pPr>
              <w:keepNext w:val="0"/>
              <w:keepLines/>
              <w:bidi/>
              <w:spacing w:before="0" w:after="0" w:line="221" w:lineRule="auto"/>
              <w:jc w:val="center"/>
            </w:pPr>
            <w:r>
              <w:rPr>
                <w:rFonts w:ascii="Arial" w:hAnsi="Arial" w:eastAsia="Arial" w:cs="Arial"/>
                <w:b/>
                <w:i w:val="0"/>
                <w:color w:val="B89A5C"/>
                <w:sz w:val="25"/>
                <w:rtl/>
              </w:rPr>
              <w:t>12</w:t>
            </w:r>
          </w:p>
          <w:p>
            <w:pPr>
              <w:keepNext w:val="0"/>
              <w:keepLines/>
              <w:bidi/>
              <w:spacing w:before="0" w:after="0" w:line="221" w:lineRule="auto"/>
              <w:jc w:val="center"/>
            </w:pPr>
            <w:r>
              <w:rPr>
                <w:rFonts w:ascii="Arial" w:hAnsi="Arial" w:eastAsia="Arial" w:cs="Arial"/>
                <w:b/>
                <w:i w:val="0"/>
                <w:color w:val="FFFFFF"/>
                <w:sz w:val="13"/>
                <w:rtl/>
              </w:rPr>
              <w:t>شهرًا لمتابعة الأثر</w:t>
            </w:r>
          </w:p>
        </w:tc>
      </w:tr>
    </w:tbl>
    <w:p>
      <w:pPr>
        <w:keepNext w:val="0"/>
        <w:keepLines/>
        <w:bidi/>
        <w:spacing w:before="0" w:after="40" w:line="240" w:lineRule="auto"/>
        <w:jc w:val="center"/>
      </w:pPr>
      <w:r>
        <w:rPr>
          <w:rFonts w:ascii="Arial" w:hAnsi="Arial" w:eastAsia="Arial" w:cs="Arial"/>
          <w:b w:val="0"/>
          <w:i/>
          <w:color w:val="5F6B75"/>
          <w:sz w:val="13"/>
          <w:rtl/>
        </w:rPr>
        <w:t>معايير تصميم أولية وليست التزامات معتمدة؛ وتخضع للتحقق من الجدوى والوقت والتكلفة والجهات المستضيفة وأثر المشاركة على استمرارية الأعمال.</w:t>
      </w:r>
    </w:p>
    <w:p>
      <w:pPr>
        <w:pStyle w:val="Heading1"/>
        <w:keepNext/>
        <w:keepLines w:val="0"/>
        <w:bidi/>
        <w:spacing w:before="50" w:after="30" w:line="240" w:lineRule="auto"/>
        <w:jc w:val="right"/>
      </w:pPr>
      <w:r>
        <w:rPr>
          <w:rFonts w:ascii="Arial" w:hAnsi="Arial" w:eastAsia="Arial" w:cs="Arial"/>
          <w:b/>
          <w:i w:val="0"/>
          <w:color w:val="0A1C2B"/>
          <w:sz w:val="20"/>
          <w:rtl/>
        </w:rPr>
        <w:t>القيمة المقصودة وكيف ستُثبت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4050"/>
        <w:gridCol w:w="6270"/>
      </w:tblGrid>
      <w:tr>
        <w:trPr>
          <w:tblHeader w:val="true"/>
        </w:trPr>
        <w:tc>
          <w:tcPr>
            <w:tcW w:type="dxa" w:w="4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القيمة المؤسسية</w:t>
            </w:r>
          </w:p>
        </w:tc>
        <w:tc>
          <w:tcPr>
            <w:tcW w:type="dxa" w:w="62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دليل التحقق في التجربة</w:t>
            </w:r>
          </w:p>
        </w:tc>
      </w:tr>
      <w:tr>
        <w:tc>
          <w:tcPr>
            <w:tcW w:type="dxa" w:w="405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i w:val="0"/>
                <w:color w:val="1D2730"/>
                <w:sz w:val="14"/>
                <w:rtl/>
              </w:rPr>
              <w:t>قاعدة كفاءات أكثر جاهزية</w:t>
            </w:r>
          </w:p>
        </w:tc>
        <w:tc>
          <w:tcPr>
            <w:tcW w:type="dxa" w:w="627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val="0"/>
                <w:i w:val="0"/>
                <w:color w:val="1D2730"/>
                <w:sz w:val="14"/>
                <w:rtl/>
              </w:rPr>
              <w:t>تقييم خط أساس وتقييم ختامي للكفاءات المستهدفة مع مراجعة متعددة المصادر</w:t>
            </w:r>
          </w:p>
        </w:tc>
      </w:tr>
      <w:tr>
        <w:tc>
          <w:tcPr>
            <w:tcW w:type="dxa" w:w="405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i w:val="0"/>
                <w:color w:val="1D2730"/>
                <w:sz w:val="14"/>
                <w:rtl/>
              </w:rPr>
              <w:t>مخرجات قابلة للاستخدام</w:t>
            </w:r>
          </w:p>
        </w:tc>
        <w:tc>
          <w:tcPr>
            <w:tcW w:type="dxa" w:w="627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val="0"/>
                <w:i w:val="0"/>
                <w:color w:val="1D2730"/>
                <w:sz w:val="14"/>
                <w:rtl/>
              </w:rPr>
              <w:t>مراجعة تنفيذية لجودة المشروعات وقابليتها للتطوير أو التطبيق</w:t>
            </w:r>
          </w:p>
        </w:tc>
      </w:tr>
      <w:tr>
        <w:tc>
          <w:tcPr>
            <w:tcW w:type="dxa" w:w="405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i w:val="0"/>
                <w:color w:val="1D2730"/>
                <w:sz w:val="14"/>
                <w:rtl/>
              </w:rPr>
              <w:t>نقل التعلم إلى بيئة العمل</w:t>
            </w:r>
          </w:p>
        </w:tc>
        <w:tc>
          <w:tcPr>
            <w:tcW w:type="dxa" w:w="6270"/>
            <w:tcMar>
              <w:top w:w="55" w:type="dxa"/>
              <w:start w:w="120" w:type="dxa"/>
              <w:bottom w:w="55" w:type="dxa"/>
              <w:end w:w="120" w:type="dxa"/>
            </w:tcMar>
            <w:vAlign w:val="center"/>
            <w:shd w:fill="FFFFFF" w:val="clear"/>
          </w:tcPr>
          <w:p>
            <w:pPr>
              <w:keepNext w:val="0"/>
              <w:keepLines/>
              <w:bidi/>
              <w:spacing w:before="0" w:after="0" w:line="240" w:lineRule="auto"/>
              <w:jc w:val="right"/>
            </w:pPr>
            <w:r>
              <w:rPr>
                <w:rFonts w:ascii="Arial" w:hAnsi="Arial" w:eastAsia="Arial" w:cs="Arial"/>
                <w:b w:val="0"/>
                <w:i w:val="0"/>
                <w:color w:val="1D2730"/>
                <w:sz w:val="14"/>
                <w:rtl/>
              </w:rPr>
              <w:t>خطة تطبيق لكل زميل ومراجعة موثقة بعد 6 و12 شهرًا</w:t>
            </w:r>
          </w:p>
        </w:tc>
      </w:tr>
      <w:tr>
        <w:tc>
          <w:tcPr>
            <w:tcW w:type="dxa" w:w="405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i w:val="0"/>
                <w:color w:val="1D2730"/>
                <w:sz w:val="14"/>
                <w:rtl/>
              </w:rPr>
              <w:t>تعلّم مؤسسي قابل للتكرار</w:t>
            </w:r>
          </w:p>
        </w:tc>
        <w:tc>
          <w:tcPr>
            <w:tcW w:type="dxa" w:w="6270"/>
            <w:tcMar>
              <w:top w:w="55" w:type="dxa"/>
              <w:start w:w="120" w:type="dxa"/>
              <w:bottom w:w="55" w:type="dxa"/>
              <w:end w:w="120" w:type="dxa"/>
            </w:tcMar>
            <w:vAlign w:val="center"/>
            <w:shd w:fill="EEF3F6" w:val="clear"/>
          </w:tcPr>
          <w:p>
            <w:pPr>
              <w:keepNext w:val="0"/>
              <w:keepLines/>
              <w:bidi/>
              <w:spacing w:before="0" w:after="0" w:line="240" w:lineRule="auto"/>
              <w:jc w:val="right"/>
            </w:pPr>
            <w:r>
              <w:rPr>
                <w:rFonts w:ascii="Arial" w:hAnsi="Arial" w:eastAsia="Arial" w:cs="Arial"/>
                <w:b w:val="0"/>
                <w:i w:val="0"/>
                <w:color w:val="1D2730"/>
                <w:sz w:val="14"/>
                <w:rtl/>
              </w:rPr>
              <w:t>توثيق الدروس والأدوات وإدماج ما يثبت نجاحه في دورات لاحقة</w:t>
            </w:r>
          </w:p>
        </w:tc>
      </w:tr>
    </w:tbl>
    <w:p>
      <w:pPr>
        <w:keepNext w:val="0"/>
        <w:keepLines/>
        <w:bidi/>
        <w:spacing w:before="40" w:after="40" w:line="240" w:lineRule="auto"/>
        <w:jc w:val="right"/>
      </w:pPr>
      <w:r>
        <w:rPr>
          <w:rFonts w:ascii="Arial" w:hAnsi="Arial" w:eastAsia="Arial" w:cs="Arial"/>
          <w:b/>
          <w:i w:val="0"/>
          <w:color w:val="17364A"/>
          <w:sz w:val="15"/>
          <w:rtl/>
        </w:rPr>
        <w:t xml:space="preserve">ضمانات الحوكمة: </w:t>
      </w:r>
      <w:r>
        <w:rPr>
          <w:rFonts w:ascii="Arial" w:hAnsi="Arial" w:eastAsia="Arial" w:cs="Arial"/>
          <w:b w:val="0"/>
          <w:i w:val="0"/>
          <w:color w:val="1D2730"/>
          <w:sz w:val="15"/>
          <w:rtl/>
        </w:rPr>
        <w:t>راعٍ تنفيذي ومالك برنامج واضحان؛ معايير اختيار معلنة وقابلة للتدقيق؛ لجنة متعددة التخصصات مع إدارة تعارض المصالح؛ بوابات اعتماد مرحلية؛ وعدم تنفيذ سفر أو تعاقد أو التزام مالي قبل اعتماد حزمة التجربة التفصيلية.</w:t>
      </w:r>
    </w:p>
    <w:p>
      <w:pPr>
        <w:pStyle w:val="Heading1"/>
        <w:keepNext/>
        <w:keepLines w:val="0"/>
        <w:bidi/>
        <w:spacing w:before="50" w:after="30" w:line="240" w:lineRule="auto"/>
        <w:jc w:val="right"/>
      </w:pPr>
      <w:r>
        <w:rPr>
          <w:rFonts w:ascii="Arial" w:hAnsi="Arial" w:eastAsia="Arial" w:cs="Arial"/>
          <w:b/>
          <w:i w:val="0"/>
          <w:color w:val="0A1C2B"/>
          <w:sz w:val="20"/>
          <w:rtl/>
        </w:rPr>
        <w:t>القرار المطلوب الآن</w:t>
      </w:r>
    </w:p>
    <w:tbl>
      <w:tblPr>
        <w:tblW w:type="dxa" w:w="10320"/>
        <w:jc w:val="center"/>
        <w:tblLayout w:type="fixed"/>
        <w:tblLook w:firstColumn="1" w:firstRow="1" w:lastColumn="0" w:lastRow="0" w:noHBand="0" w:noVBand="1" w:val="04A0"/>
        <w:tblInd w:w="120" w:type="dxa"/>
        <w:bidiVisual/>
        <w:tblBorders>
          <w:top w:val="single" w:sz="8" w:space="0" w:color="B89A5C"/>
          <w:start w:val="single" w:sz="8" w:space="0" w:color="B89A5C"/>
          <w:bottom w:val="single" w:sz="8" w:space="0" w:color="B89A5C"/>
          <w:end w:val="single" w:sz="8" w:space="0" w:color="B89A5C"/>
        </w:tblBorders>
      </w:tblPr>
      <w:tblGrid>
        <w:gridCol w:w="10320"/>
      </w:tblGrid>
      <w:tr>
        <w:tc>
          <w:tcPr>
            <w:tcW w:type="dxa" w:w="10320"/>
            <w:tcMar>
              <w:top w:w="55" w:type="dxa"/>
              <w:start w:w="120" w:type="dxa"/>
              <w:bottom w:w="55" w:type="dxa"/>
              <w:end w:w="120" w:type="dxa"/>
            </w:tcMar>
            <w:vAlign w:val="center"/>
            <w:shd w:fill="F7F2E7" w:val="clear"/>
          </w:tcPr>
          <w:p>
            <w:pPr>
              <w:keepNext w:val="0"/>
              <w:keepLines/>
              <w:bidi/>
              <w:spacing w:before="0" w:after="40" w:line="240" w:lineRule="auto"/>
              <w:jc w:val="right"/>
            </w:pPr>
            <w:r>
              <w:rPr>
                <w:rFonts w:ascii="Arial" w:hAnsi="Arial" w:eastAsia="Arial" w:cs="Arial"/>
                <w:b/>
                <w:i w:val="0"/>
                <w:color w:val="0A1C2B"/>
                <w:sz w:val="16"/>
                <w:rtl/>
              </w:rPr>
              <w:t>الموافقة المبدئية المشروطة على تطوير نموذج «سَمْت» وإعداد حزمة تجربة محدودة خلال ستة أسابيع، دون إطلاق البرنامج أو الالتزام المالي في هذه المرحلة.</w:t>
            </w:r>
          </w:p>
          <w:p>
            <w:pPr>
              <w:keepNext w:val="0"/>
              <w:keepLines/>
              <w:bidi/>
              <w:spacing w:before="0" w:after="20" w:line="240" w:lineRule="auto"/>
              <w:jc w:val="right"/>
            </w:pPr>
            <w:r>
              <w:rPr>
                <w:rFonts w:ascii="Arial" w:hAnsi="Arial" w:eastAsia="Arial" w:cs="Arial"/>
                <w:b w:val="0"/>
                <w:i w:val="0"/>
                <w:color w:val="1D2730"/>
                <w:sz w:val="14"/>
                <w:rtl/>
              </w:rPr>
              <w:t>تشمل حزمة الاعتماد الثانية: خط الأساس، وميثاق البرنامج، والحوكمة، ومعايير الاختيار، والتصميم التفصيلي، والموارد والتكلفة، والمخاطر، وإطار قياس المنافع. وتُعرض على صاحب الصلاحية قبل الإطلاق أو اختيار الزملاء.</w:t>
            </w:r>
          </w:p>
          <w:p>
            <w:pPr>
              <w:keepNext w:val="0"/>
              <w:keepLines/>
              <w:bidi/>
              <w:spacing w:before="0" w:after="0" w:line="240" w:lineRule="auto"/>
              <w:jc w:val="right"/>
            </w:pPr>
            <w:r>
              <w:rPr>
                <w:rFonts w:ascii="Arial" w:hAnsi="Arial" w:eastAsia="Arial" w:cs="Arial"/>
                <w:b/>
                <w:i w:val="0"/>
                <w:color w:val="7C642F"/>
                <w:sz w:val="14"/>
                <w:rtl/>
              </w:rPr>
              <w:t xml:space="preserve">خارج نطاق القرار: </w:t>
            </w:r>
            <w:r>
              <w:rPr>
                <w:rFonts w:ascii="Arial" w:hAnsi="Arial" w:eastAsia="Arial" w:cs="Arial"/>
                <w:b w:val="0"/>
                <w:i w:val="0"/>
                <w:color w:val="1D2730"/>
                <w:sz w:val="14"/>
                <w:rtl/>
              </w:rPr>
              <w:t>إطلاق البرنامج، أو بدء الترشيحات، أو السفر، أو التعاقد، أو أي التزام مالي.</w:t>
            </w:r>
          </w:p>
        </w:tc>
      </w:tr>
    </w:tbl>
    <w:sectPr>
      <w:headerReference w:type="default" r:id="rId9"/>
      <w:footerReference w:type="default" r:id="rId10"/>
      <w:pgSz w:w="11906" w:h="16838"/>
      <w:pgMar w:top="595" w:right="794" w:bottom="539" w:left="794"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bidi/>
      <w:spacing w:before="0" w:after="0" w:line="240" w:lineRule="auto"/>
      <w:jc w:val="right"/>
    </w:pPr>
    <w:r>
      <w:rPr>
        <w:rFonts w:ascii="Arial" w:hAnsi="Arial" w:eastAsia="Arial" w:cs="Arial"/>
        <w:b w:val="0"/>
        <w:i w:val="0"/>
        <w:color w:val="5F6B75"/>
        <w:sz w:val="13"/>
        <w:rtl/>
      </w:rPr>
      <w:t>للاستخدام الداخلي في مناقشة المفهوم فقط   |   الإصدار 0.1   |   24 يوليو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bidi/>
      <w:spacing w:before="0" w:after="0" w:line="240" w:lineRule="auto"/>
      <w:jc w:val="right"/>
    </w:pPr>
    <w:r>
      <w:rPr>
        <w:rFonts w:ascii="Arial" w:hAnsi="Arial" w:eastAsia="Arial" w:cs="Arial"/>
        <w:b/>
        <w:i w:val="0"/>
        <w:color w:val="5F6B75"/>
        <w:sz w:val="14"/>
        <w:rtl/>
      </w:rPr>
      <w:t>سَمْت | مسودة تطوير المفهوم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7" w:lineRule="auto"/>
    </w:pPr>
    <w:rPr>
      <w:rFonts w:ascii="Arial" w:hAnsi="Arial" w:cs="Arial"/>
      <w:color w:val="1D273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0" w:after="30" w:line="240" w:lineRule="auto"/>
      <w:outlineLvl w:val="0"/>
    </w:pPr>
    <w:rPr>
      <w:rFonts w:asciiTheme="majorHAnsi" w:eastAsiaTheme="majorEastAsia" w:hAnsiTheme="majorHAnsi" w:cstheme="majorBidi" w:ascii="Arial" w:hAnsi="Arial" w:cs="Arial"/>
      <w:b/>
      <w:bCs/>
      <w:color w:val="0A1C2B"/>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سَمْت | حالة الاعتماد التنفيذي — المرحلة الأولى</dc:title>
  <dc:subject>مسودة تطوير مفهوم داخلي</dc:subject>
  <dc:creator/>
  <cp:keywords>SAMT, Strategic Advancement, Management, Transformation</cp:keywords>
  <dc:description>generated by python-docx</dc:description>
  <cp:lastModifiedBy/>
  <cp:revision>1</cp:revision>
  <dcterms:created xsi:type="dcterms:W3CDTF">2013-12-23T23:15:00Z</dcterms:created>
  <dcterms:modified xsi:type="dcterms:W3CDTF">2013-12-23T23:15:00Z</dcterms:modified>
  <cp:category/>
</cp:coreProperties>
</file>