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Noto Sans Arabic" w:hAnsi="Noto Sans Arabic" w:cs="Noto Sans Arabic"/>
          <w:sz w:val="44"/>
          <w:rtl w:val="1"/>
          <w:szCs w:val="44"/>
        </w:rPr>
        <w:t>مقترح اعتماد مبادرة سمت لإعداد قيادات وزارة الدفاع</w:t>
      </w:r>
    </w:p>
    <w:p>
      <w:pPr>
        <w:bidi w:val="1"/>
        <w:jc w:val="start"/>
      </w:pPr>
      <w:r>
        <w:rPr>
          <w:rFonts w:ascii="Noto Sans Arabic" w:hAnsi="Noto Sans Arabic" w:cs="Noto Sans Arabic"/>
          <w:sz w:val="21"/>
          <w:rtl w:val="1"/>
          <w:szCs w:val="21"/>
        </w:rPr>
        <w:t>مقدم المبادرة أحمد يونس يوسف الحمادي</w:t>
        <w:br/>
        <w:t>25 سبتمبر 2026  |  الإصدار 1.0</w:t>
        <w:br/>
        <w:t>النسخة العربية تتبعها النسخة الإنجليزية المكافئة</w:t>
      </w:r>
    </w:p>
    <w:p>
      <w:pPr>
        <w:pStyle w:val="Heading1"/>
        <w:bidi w:val="1"/>
        <w:jc w:val="start"/>
      </w:pPr>
      <w:r>
        <w:rPr>
          <w:rFonts w:ascii="Noto Sans Arabic" w:hAnsi="Noto Sans Arabic" w:cs="Noto Sans Arabic"/>
          <w:sz w:val="30"/>
          <w:rtl w:val="1"/>
          <w:szCs w:val="30"/>
        </w:rPr>
        <w:t>القرار المطلوب</w:t>
      </w:r>
    </w:p>
    <w:p>
      <w:pPr>
        <w:bidi w:val="1"/>
        <w:jc w:val="start"/>
      </w:pPr>
      <w:r>
        <w:rPr>
          <w:rFonts w:ascii="Noto Sans Arabic" w:hAnsi="Noto Sans Arabic" w:cs="Noto Sans Arabic"/>
          <w:sz w:val="21"/>
          <w:rtl w:val="1"/>
          <w:szCs w:val="21"/>
        </w:rPr>
        <w:t>أقترح تبنّي مبادرة سَمْت من حيث المبدأ، وتكليف جهة راعية داخل وزارة الدفاع بتطوير تصميمها التنفيذي وإتمام دراسة الجدوى والتنسيق مع الجهات المضيفة، تمهيداً لاتخاذ قرار مستقل بشأن إطلاق دورة تجريبية.</w:t>
      </w:r>
    </w:p>
    <w:p>
      <w:pPr>
        <w:bidi w:val="1"/>
        <w:jc w:val="start"/>
      </w:pPr>
      <w:r>
        <w:rPr>
          <w:rFonts w:ascii="Noto Sans Arabic" w:hAnsi="Noto Sans Arabic" w:cs="Noto Sans Arabic"/>
          <w:sz w:val="21"/>
          <w:rtl w:val="1"/>
          <w:szCs w:val="21"/>
        </w:rPr>
        <w:t>المبادرة مقدمة من أحمد يونس يوسف الحمادي. وهي مقترح يسعى إلى تبنّي الوزارة، ولا تمثل برنامجاً معتمداً أو شراكات قائمة. لا يترتب على الموافقة المبدئية التزام مالي أو إعلان فتح باب الترشيح الفعلي.</w:t>
      </w:r>
    </w:p>
    <w:p>
      <w:pPr>
        <w:bidi w:val="1"/>
        <w:jc w:val="start"/>
      </w:pPr>
      <w:r>
        <w:rPr>
          <w:rFonts w:ascii="Noto Sans Arabic" w:hAnsi="Noto Sans Arabic" w:cs="Noto Sans Arabic"/>
          <w:sz w:val="21"/>
          <w:rtl w:val="1"/>
          <w:szCs w:val="21"/>
        </w:rPr>
        <w:t>تتضمن حزمة القرار التصميم المقترح، الحوكمة، الاختيار، رحلة التعلم، التقييم، متابعة الأثر، نموذج التكاليف وسجل المخاطر، إضافة إلى تجربة رقمية ببيانات افتراضية.</w:t>
      </w:r>
    </w:p>
    <w:p>
      <w:pPr>
        <w:pStyle w:val="Heading1"/>
        <w:bidi w:val="1"/>
        <w:jc w:val="start"/>
      </w:pPr>
      <w:r>
        <w:rPr>
          <w:rFonts w:ascii="Noto Sans Arabic" w:hAnsi="Noto Sans Arabic" w:cs="Noto Sans Arabic"/>
          <w:sz w:val="30"/>
          <w:rtl w:val="1"/>
          <w:szCs w:val="30"/>
        </w:rPr>
        <w:t>الحاجة والقيمة المؤسسية</w:t>
      </w:r>
    </w:p>
    <w:p>
      <w:pPr>
        <w:bidi w:val="1"/>
        <w:jc w:val="start"/>
      </w:pPr>
      <w:r>
        <w:rPr>
          <w:rFonts w:ascii="Noto Sans Arabic" w:hAnsi="Noto Sans Arabic" w:cs="Noto Sans Arabic"/>
          <w:sz w:val="21"/>
          <w:rtl w:val="1"/>
          <w:szCs w:val="21"/>
        </w:rPr>
        <w:t>تعالج المبادرة فجوة يحددها صاحب المقترح بين الخبرة المتراكمة لدى الجيل القيادي القائم والموهبة الواعدة لدى الجيل التالي، بالتزامن مع تغير التقنية والصناعة والجيوسياسة والسياسات. ينبغي التحقق من حجم هذه الفجوة بمقابلات وبيانات تطوير الكوادر خلال مرحلة الجدوى.</w:t>
      </w:r>
    </w:p>
    <w:p>
      <w:pPr>
        <w:bidi w:val="1"/>
        <w:jc w:val="start"/>
      </w:pPr>
      <w:r>
        <w:rPr>
          <w:rFonts w:ascii="Noto Sans Arabic" w:hAnsi="Noto Sans Arabic" w:cs="Noto Sans Arabic"/>
          <w:sz w:val="21"/>
          <w:rtl w:val="1"/>
          <w:szCs w:val="21"/>
        </w:rPr>
        <w:t>القيمة المقصودة هي إعداد عسكريين ومدنيين ذوي إمكانات استثنائية لفهم المنظومة المؤسسية واتخاذ قرارات أفضل والعمل عبر حدود الوظائف. يشمل ذلك الاستراتيجية والعمليات والموارد البشرية والقدرات والاستحواذ والمالية والصناعة والدعم والحوكمة.</w:t>
      </w:r>
    </w:p>
    <w:p>
      <w:pPr>
        <w:bidi w:val="1"/>
        <w:jc w:val="start"/>
      </w:pPr>
      <w:r>
        <w:rPr>
          <w:rFonts w:ascii="Noto Sans Arabic" w:hAnsi="Noto Sans Arabic" w:cs="Noto Sans Arabic"/>
          <w:sz w:val="21"/>
          <w:rtl w:val="1"/>
          <w:szCs w:val="21"/>
        </w:rPr>
        <w:t>يُستفاد من مراجع OECD وأبحاث التدريب القيادي في تصميم الممارسة والتغذية الراجعة ونقل التعلم إلى العمل. هذه مبررات تصميمية وليست دليلاً على تحقق أثر سمت؛ إثبات ذلك يتطلب دورة تجريبية وقياساً لاحقاً. [R1، R2]</w:t>
      </w:r>
    </w:p>
    <w:p>
      <w:pPr>
        <w:pStyle w:val="Heading1"/>
        <w:bidi w:val="1"/>
        <w:jc w:val="start"/>
      </w:pPr>
      <w:r>
        <w:rPr>
          <w:rFonts w:ascii="Noto Sans Arabic" w:hAnsi="Noto Sans Arabic" w:cs="Noto Sans Arabic"/>
          <w:sz w:val="30"/>
          <w:rtl w:val="1"/>
          <w:szCs w:val="30"/>
        </w:rPr>
        <w:t>ميثاق البرنامج وحدوده</w:t>
      </w:r>
    </w:p>
    <w:p>
      <w:pPr>
        <w:bidi w:val="1"/>
        <w:jc w:val="start"/>
      </w:pPr>
      <w:r>
        <w:rPr>
          <w:rFonts w:ascii="Noto Sans Arabic" w:hAnsi="Noto Sans Arabic" w:cs="Noto Sans Arabic"/>
          <w:sz w:val="21"/>
          <w:rtl w:val="1"/>
          <w:szCs w:val="21"/>
        </w:rPr>
        <w:t>الفئة المستهدفة هي عسكريون ومدنيون من وزارة الدفاع حصراً، من المراحل المبكرة والمتوسطة مهنياً، ويكون التميز والإمكانات القيادية محور الاختيار. الحد الأقصى 20 مشاركاً في الدورة، ويحدد الحجم النهائي وفق قدرة الاستضافة والإشراف والتمويل.</w:t>
      </w:r>
    </w:p>
    <w:p>
      <w:pPr>
        <w:bidi w:val="1"/>
        <w:jc w:val="start"/>
      </w:pPr>
      <w:r>
        <w:rPr>
          <w:rFonts w:ascii="Noto Sans Arabic" w:hAnsi="Noto Sans Arabic" w:cs="Noto Sans Arabic"/>
          <w:sz w:val="21"/>
          <w:rtl w:val="1"/>
          <w:szCs w:val="21"/>
        </w:rPr>
        <w:t>المدة الملزمة 16 أسبوعاً متتالياً بدوام كامل في الإمارات والمملكة المتحدة وفرنسا والولايات المتحدة. التوزيع المرجعي 3 و6 و3 و4 أسابيع على التوالي. تُدمج الانتقالات والمراجعات ضمن هذه المدة، وتحتاج ساعات الاتصال وأيام السفر إلى جدول تنفيذي معتمد.</w:t>
      </w:r>
    </w:p>
    <w:p>
      <w:pPr>
        <w:bidi w:val="1"/>
        <w:jc w:val="start"/>
      </w:pPr>
      <w:r>
        <w:rPr>
          <w:rFonts w:ascii="Noto Sans Arabic" w:hAnsi="Noto Sans Arabic" w:cs="Noto Sans Arabic"/>
          <w:sz w:val="21"/>
          <w:rtl w:val="1"/>
          <w:szCs w:val="21"/>
        </w:rPr>
        <w:t>تبقى الجهات والمسارات الموضحة في ملحق المحطات ثابتة في التصميم، مع إمكان إضافة جهات تخدم نواتج التعلم. كل استضافة أو تخصيص مقاعد أو استخدام موقع يتطلب اتفاقاً رسمياً. وتبقى متابعة 12 شهراً بعد العودة أساساً مقترحاً قابلاً للتفصيل.</w:t>
      </w:r>
    </w:p>
    <w:p>
      <w:pPr>
        <w:bidi w:val="1"/>
        <w:jc w:val="start"/>
      </w:pPr>
      <w:r>
        <w:rPr>
          <w:rFonts w:ascii="Noto Sans Arabic" w:hAnsi="Noto Sans Arabic" w:cs="Noto Sans Arabic"/>
          <w:sz w:val="21"/>
          <w:rtl w:val="1"/>
          <w:szCs w:val="21"/>
        </w:rPr>
        <w:t>لا تمنح المشاركة رتبة أو ترقية أو أهلية تلقائية لتولي القيادة. ولا تمنح المبادرة شهادة أكاديمية أو مهنية معتمدة ما لم يُبرم اتفاق صريح مع جهة مخولة.</w:t>
      </w:r>
    </w:p>
    <w:p>
      <w:pPr>
        <w:pStyle w:val="Heading1"/>
        <w:bidi w:val="1"/>
        <w:jc w:val="start"/>
      </w:pPr>
      <w:r>
        <w:rPr>
          <w:rFonts w:ascii="Noto Sans Arabic" w:hAnsi="Noto Sans Arabic" w:cs="Noto Sans Arabic"/>
          <w:sz w:val="30"/>
          <w:rtl w:val="1"/>
          <w:szCs w:val="30"/>
        </w:rPr>
        <w:t>الترشيح والاختيار</w:t>
      </w:r>
    </w:p>
    <w:p>
      <w:pPr>
        <w:bidi w:val="1"/>
        <w:jc w:val="start"/>
      </w:pPr>
      <w:r>
        <w:rPr>
          <w:rFonts w:ascii="Noto Sans Arabic" w:hAnsi="Noto Sans Arabic" w:cs="Noto Sans Arabic"/>
          <w:sz w:val="21"/>
          <w:rtl w:val="1"/>
          <w:szCs w:val="21"/>
        </w:rPr>
        <w:t>تبدأ العملية بترشيح مؤسسي مدعوم بأدلة أداء واستعداد للتفرغ وخطاب يوضح الدافع. تراجع الأهلية أولاً، ثم تُجرى دراسة حالة وتمرين جماعي ومقابلة منظمة، وتنتهي بمراجعة لجنة متعددة التخصصات.</w:t>
      </w:r>
    </w:p>
    <w:p>
      <w:pPr>
        <w:bidi w:val="1"/>
        <w:jc w:val="start"/>
      </w:pPr>
      <w:r>
        <w:rPr>
          <w:rFonts w:ascii="Noto Sans Arabic" w:hAnsi="Noto Sans Arabic" w:cs="Noto Sans Arabic"/>
          <w:sz w:val="21"/>
          <w:rtl w:val="1"/>
          <w:szCs w:val="21"/>
        </w:rPr>
        <w:t>مقترح المفاضلة هو 30% للتحليل والتقدير، 25% للتعلم وفهم المنظومة، 20% لقيادة الفريق، 15% للدافع والوعي الذاتي، و10% للتواصل. السلوك المهني والنزاهة شرط مستقل. تُعاير المعايير خلال التجربة قبل اعتماد أي حد للنجاح.</w:t>
      </w:r>
    </w:p>
    <w:p>
      <w:pPr>
        <w:bidi w:val="1"/>
        <w:jc w:val="start"/>
      </w:pPr>
      <w:r>
        <w:rPr>
          <w:rFonts w:ascii="Noto Sans Arabic" w:hAnsi="Noto Sans Arabic" w:cs="Noto Sans Arabic"/>
          <w:sz w:val="21"/>
          <w:rtl w:val="1"/>
          <w:szCs w:val="21"/>
        </w:rPr>
        <w:t>يوثق مقيمان على الأقل الأدلة، وتراجع اللجنة الحالات المتباينة مع الإفصاح عن تعارض المصالح. تكون القرارات مسببة وقابلة للمراجعة، ويستخدم الفرز العددي لمساندة الحكم البشري. لا تُفترض حدود عمر أو رتبة أو سنوات خدمة غير مقررة من الوزارة.</w:t>
      </w:r>
    </w:p>
    <w:p>
      <w:pPr>
        <w:pStyle w:val="Heading1"/>
        <w:bidi w:val="1"/>
        <w:jc w:val="start"/>
      </w:pPr>
      <w:r>
        <w:rPr>
          <w:rFonts w:ascii="Noto Sans Arabic" w:hAnsi="Noto Sans Arabic" w:cs="Noto Sans Arabic"/>
          <w:sz w:val="30"/>
          <w:rtl w:val="1"/>
          <w:szCs w:val="30"/>
        </w:rPr>
        <w:t>التعلم التطبيقي ونقل الخبرة</w:t>
      </w:r>
    </w:p>
    <w:p>
      <w:pPr>
        <w:bidi w:val="1"/>
        <w:jc w:val="start"/>
      </w:pPr>
      <w:r>
        <w:rPr>
          <w:rFonts w:ascii="Noto Sans Arabic" w:hAnsi="Noto Sans Arabic" w:cs="Noto Sans Arabic"/>
          <w:sz w:val="21"/>
          <w:rtl w:val="1"/>
          <w:szCs w:val="21"/>
        </w:rPr>
        <w:t>يتبع الجميع نواة مشتركة لفهم منظومة الوزارة، مع تكليفات تتناسب مع الخبرة والوظيفة. يربط كل أسبوع بين سؤال مؤسسي، لقاء أو حالة تطبيقية، مخرج مكتوب، وتغذية راجعة. يدوّن المشارك ما تعلمه وكيف سيستخدمه وما يحتاج إلى التحقق منه.</w:t>
      </w:r>
    </w:p>
    <w:p>
      <w:pPr>
        <w:bidi w:val="1"/>
        <w:jc w:val="start"/>
      </w:pPr>
      <w:r>
        <w:rPr>
          <w:rFonts w:ascii="Noto Sans Arabic" w:hAnsi="Noto Sans Arabic" w:cs="Noto Sans Arabic"/>
          <w:sz w:val="21"/>
          <w:rtl w:val="1"/>
          <w:szCs w:val="21"/>
        </w:rPr>
        <w:t>يُقرن كل مشارك بمرشد ذي خبرة، وتضم فرق العمل عسكريين ومدنيين وخبرات متفاوتة. تُستخدم جلسات خبرة منظمة، ومراجعات بعد النشاط، ومناقشات بين الأجيال لحفظ المعرفة الضمنية وإعادة اختبارها في سياق جديد.</w:t>
      </w:r>
    </w:p>
    <w:p>
      <w:pPr>
        <w:bidi w:val="1"/>
        <w:jc w:val="start"/>
      </w:pPr>
      <w:r>
        <w:rPr>
          <w:rFonts w:ascii="Noto Sans Arabic" w:hAnsi="Noto Sans Arabic" w:cs="Noto Sans Arabic"/>
          <w:sz w:val="21"/>
          <w:rtl w:val="1"/>
          <w:szCs w:val="21"/>
        </w:rPr>
        <w:t>يبدأ مشروع الأثر في المحطة الوطنية وينمو عبر المحطات الأربع. تشمل أمثلته التعليمية تحسين تدفق القرار أو تبادل المعرفة أو كفاءة عملية دعم، ويختار مالك مؤسسي التحدي وخط الأساس ونطاق البيانات المسموح به.</w:t>
      </w:r>
    </w:p>
    <w:p>
      <w:pPr>
        <w:pStyle w:val="Heading1"/>
        <w:bidi w:val="1"/>
        <w:jc w:val="start"/>
      </w:pPr>
      <w:r>
        <w:rPr>
          <w:rFonts w:ascii="Noto Sans Arabic" w:hAnsi="Noto Sans Arabic" w:cs="Noto Sans Arabic"/>
          <w:sz w:val="30"/>
          <w:rtl w:val="1"/>
          <w:szCs w:val="30"/>
        </w:rPr>
        <w:t>التقييم والتخرج</w:t>
      </w:r>
    </w:p>
    <w:p>
      <w:pPr>
        <w:bidi w:val="1"/>
        <w:jc w:val="start"/>
      </w:pPr>
      <w:r>
        <w:rPr>
          <w:rFonts w:ascii="Noto Sans Arabic" w:hAnsi="Noto Sans Arabic" w:cs="Noto Sans Arabic"/>
          <w:sz w:val="21"/>
          <w:rtl w:val="1"/>
          <w:szCs w:val="21"/>
        </w:rPr>
        <w:t>يُقاس التقدم عبر ثمانية مجالات موضحة في إطار الجدارات. لكل مجال شواهد سلوكية ومخرجات، ويستخدم سلم من 1 إلى 5 من الفهم الأساسي إلى التطبيق المستقل والتفسير المقنع للبدائل. الأوزان المقترحة مجموعها 100% ولا تمثل معياراً معتمداً.</w:t>
      </w:r>
    </w:p>
    <w:p>
      <w:pPr>
        <w:bidi w:val="1"/>
        <w:jc w:val="start"/>
      </w:pPr>
      <w:r>
        <w:rPr>
          <w:rFonts w:ascii="Noto Sans Arabic" w:hAnsi="Noto Sans Arabic" w:cs="Noto Sans Arabic"/>
          <w:sz w:val="21"/>
          <w:rtl w:val="1"/>
          <w:szCs w:val="21"/>
        </w:rPr>
        <w:t>يجمع التقييم خط الأساس، أدلة الأسبوع، ملاحظات المضيف والمرشد، مراجعة منتصف البرنامج، وتمرين القرار والعرض الختامي. الفرق بين قياسين على سلم ترتيبي وصف للتقدم، ولا يكفي وحده لإثبات انتقال الأثر إلى العمل.</w:t>
      </w:r>
    </w:p>
    <w:p>
      <w:pPr>
        <w:bidi w:val="1"/>
        <w:jc w:val="start"/>
      </w:pPr>
      <w:r>
        <w:rPr>
          <w:rFonts w:ascii="Noto Sans Arabic" w:hAnsi="Noto Sans Arabic" w:cs="Noto Sans Arabic"/>
          <w:sz w:val="21"/>
          <w:rtl w:val="1"/>
          <w:szCs w:val="21"/>
        </w:rPr>
        <w:t>توصي اللجنة بالتخرج عند اكتمال الأدلة الأساسية ومشروع الأثر وخطة التطبيق والسلوك المهني المطلوب. تُوثق الفجوات وخطة المعالجة عند الحاجة، ولا تستخدم الدرجة الإجمالية وحدها لتجاوز نقص جوهري.</w:t>
      </w:r>
    </w:p>
    <w:p>
      <w:pPr>
        <w:pStyle w:val="Heading1"/>
        <w:bidi w:val="1"/>
        <w:jc w:val="start"/>
      </w:pPr>
      <w:r>
        <w:rPr>
          <w:rFonts w:ascii="Noto Sans Arabic" w:hAnsi="Noto Sans Arabic" w:cs="Noto Sans Arabic"/>
          <w:sz w:val="30"/>
          <w:rtl w:val="1"/>
          <w:szCs w:val="30"/>
        </w:rPr>
        <w:t>الحوكمة والمسؤوليات</w:t>
      </w:r>
    </w:p>
    <w:p>
      <w:pPr>
        <w:bidi w:val="1"/>
        <w:jc w:val="start"/>
      </w:pPr>
      <w:r>
        <w:rPr>
          <w:rFonts w:ascii="Noto Sans Arabic" w:hAnsi="Noto Sans Arabic" w:cs="Noto Sans Arabic"/>
          <w:sz w:val="21"/>
          <w:rtl w:val="1"/>
          <w:szCs w:val="21"/>
        </w:rPr>
        <w:t>يُقترح راعٍ مؤسسي مخول يعتمد الاتجاه وقرارات البوابات، ولجنة توجيه تضم التطوير والموارد البشرية والعمليات والمالية والشؤون القانونية والتعاون الدولي. تدير وحدة البرنامج التنفيذ والسجل والمواعيد، وتملك لجنة تقييم مستقلة نسبياً قرارات الاختيار والتخرج.</w:t>
      </w:r>
    </w:p>
    <w:p>
      <w:pPr>
        <w:bidi w:val="1"/>
        <w:jc w:val="start"/>
      </w:pPr>
      <w:r>
        <w:rPr>
          <w:rFonts w:ascii="Noto Sans Arabic" w:hAnsi="Noto Sans Arabic" w:cs="Noto Sans Arabic"/>
          <w:sz w:val="21"/>
          <w:rtl w:val="1"/>
          <w:szCs w:val="21"/>
        </w:rPr>
        <w:t>يعين كل مشروع أثر مالك منفعة داخل جهة العمل. وتكون للمالية مسؤولية التحقق من التكلفة، وللجهة المخولة مسؤولية اعتماد الالتزام، وللمضيف مسؤولية اعتماد محتواه وتقييمه. تُحدد صلاحيات حماية المعلومات والاستضافة الرقمية وفق متطلبات الوزارة قبل أي تشغيل حقيقي.</w:t>
      </w:r>
    </w:p>
    <w:p>
      <w:pPr>
        <w:pStyle w:val="Heading1"/>
        <w:bidi w:val="1"/>
        <w:jc w:val="start"/>
      </w:pPr>
      <w:r>
        <w:rPr>
          <w:rFonts w:ascii="Noto Sans Arabic" w:hAnsi="Noto Sans Arabic" w:cs="Noto Sans Arabic"/>
          <w:sz w:val="30"/>
          <w:rtl w:val="1"/>
          <w:szCs w:val="30"/>
        </w:rPr>
        <w:t>بوابات الاعتماد والتنفيذ</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00"/>
        <w:gridCol w:w="2376"/>
        <w:gridCol w:w="5760"/>
      </w:tblGrid>
      <w:tr>
        <w:trPr>
          <w:tblHeader/>
        </w:trPr>
        <w:tc>
          <w:tcPr>
            <w:tcW w:type="dxa" w:w="1800"/>
            <w:vAlign w:val="center"/>
            <w:shd w:fill="333333"/>
          </w:tcPr>
          <w:p>
            <w:pPr>
              <w:bidi w:val="1"/>
              <w:spacing w:after="40" w:line="269" w:lineRule="auto"/>
              <w:jc w:val="start"/>
            </w:pPr>
            <w:r>
              <w:rPr>
                <w:rFonts w:ascii="Noto Sans Arabic" w:hAnsi="Noto Sans Arabic" w:cs="Noto Sans Arabic"/>
                <w:b/>
                <w:color w:val="FFFFFF"/>
                <w:sz w:val="18"/>
                <w:rtl w:val="1"/>
                <w:szCs w:val="18"/>
              </w:rPr>
              <w:t>البوابة</w:t>
            </w:r>
          </w:p>
        </w:tc>
        <w:tc>
          <w:tcPr>
            <w:tcW w:type="dxa" w:w="2376"/>
            <w:vAlign w:val="center"/>
            <w:shd w:fill="333333"/>
          </w:tcPr>
          <w:p>
            <w:pPr>
              <w:bidi w:val="1"/>
              <w:spacing w:after="40" w:line="269" w:lineRule="auto"/>
              <w:jc w:val="start"/>
            </w:pPr>
            <w:r>
              <w:rPr>
                <w:rFonts w:ascii="Noto Sans Arabic" w:hAnsi="Noto Sans Arabic" w:cs="Noto Sans Arabic"/>
                <w:b/>
                <w:color w:val="FFFFFF"/>
                <w:sz w:val="18"/>
                <w:rtl w:val="1"/>
                <w:szCs w:val="18"/>
              </w:rPr>
              <w:t>المسؤول المقترح</w:t>
            </w:r>
          </w:p>
        </w:tc>
        <w:tc>
          <w:tcPr>
            <w:tcW w:type="dxa" w:w="5760"/>
            <w:vAlign w:val="center"/>
            <w:shd w:fill="333333"/>
          </w:tcPr>
          <w:p>
            <w:pPr>
              <w:bidi w:val="1"/>
              <w:spacing w:after="40" w:line="269" w:lineRule="auto"/>
              <w:jc w:val="start"/>
            </w:pPr>
            <w:r>
              <w:rPr>
                <w:rFonts w:ascii="Noto Sans Arabic" w:hAnsi="Noto Sans Arabic" w:cs="Noto Sans Arabic"/>
                <w:b/>
                <w:color w:val="FFFFFF"/>
                <w:sz w:val="18"/>
                <w:rtl w:val="1"/>
                <w:szCs w:val="18"/>
              </w:rPr>
              <w:t>الدليل المطلوب</w:t>
            </w:r>
          </w:p>
        </w:tc>
      </w:tr>
      <w:tr>
        <w:trPr>
          <w:cantSplit/>
        </w:trPr>
        <w:tc>
          <w:tcPr>
            <w:tcW w:type="dxa" w:w="1800"/>
            <w:vAlign w:val="center"/>
            <w:shd w:fill="FFFFFF"/>
          </w:tcPr>
          <w:p>
            <w:pPr>
              <w:bidi w:val="1"/>
              <w:spacing w:after="40" w:line="269" w:lineRule="auto"/>
              <w:jc w:val="start"/>
            </w:pPr>
            <w:r>
              <w:rPr>
                <w:rFonts w:ascii="Noto Sans Arabic" w:hAnsi="Noto Sans Arabic" w:cs="Noto Sans Arabic"/>
                <w:sz w:val="18"/>
                <w:rtl w:val="1"/>
                <w:szCs w:val="18"/>
              </w:rPr>
              <w:t>تبنّي المبدأ</w:t>
            </w:r>
          </w:p>
        </w:tc>
        <w:tc>
          <w:tcPr>
            <w:tcW w:type="dxa" w:w="2376"/>
            <w:vAlign w:val="center"/>
            <w:shd w:fill="FFFFFF"/>
          </w:tcPr>
          <w:p>
            <w:pPr>
              <w:bidi w:val="1"/>
              <w:spacing w:after="40" w:line="269" w:lineRule="auto"/>
              <w:jc w:val="start"/>
            </w:pPr>
            <w:r>
              <w:rPr>
                <w:rFonts w:ascii="Noto Sans Arabic" w:hAnsi="Noto Sans Arabic" w:cs="Noto Sans Arabic"/>
                <w:sz w:val="18"/>
                <w:rtl w:val="1"/>
                <w:szCs w:val="18"/>
              </w:rPr>
              <w:t>الراعي المخول</w:t>
            </w:r>
          </w:p>
        </w:tc>
        <w:tc>
          <w:tcPr>
            <w:tcW w:type="dxa" w:w="5760"/>
            <w:vAlign w:val="center"/>
            <w:shd w:fill="FFFFFF"/>
          </w:tcPr>
          <w:p>
            <w:pPr>
              <w:bidi w:val="1"/>
              <w:spacing w:after="40" w:line="269" w:lineRule="auto"/>
              <w:jc w:val="start"/>
            </w:pPr>
            <w:r>
              <w:rPr>
                <w:rFonts w:ascii="Noto Sans Arabic" w:hAnsi="Noto Sans Arabic" w:cs="Noto Sans Arabic"/>
                <w:sz w:val="18"/>
                <w:rtl w:val="1"/>
                <w:szCs w:val="18"/>
              </w:rPr>
              <w:t>قصد واضح ونطاق ثابت وتكليف فريق التصميم.</w:t>
            </w:r>
          </w:p>
        </w:tc>
      </w:tr>
      <w:tr>
        <w:trPr>
          <w:cantSplit/>
        </w:trPr>
        <w:tc>
          <w:tcPr>
            <w:tcW w:type="dxa" w:w="1800"/>
            <w:vAlign w:val="center"/>
            <w:shd w:fill="F5F5F5"/>
          </w:tcPr>
          <w:p>
            <w:pPr>
              <w:bidi w:val="1"/>
              <w:spacing w:after="40" w:line="269" w:lineRule="auto"/>
              <w:jc w:val="start"/>
            </w:pPr>
            <w:r>
              <w:rPr>
                <w:rFonts w:ascii="Noto Sans Arabic" w:hAnsi="Noto Sans Arabic" w:cs="Noto Sans Arabic"/>
                <w:sz w:val="18"/>
                <w:rtl w:val="1"/>
                <w:szCs w:val="18"/>
              </w:rPr>
              <w:t>الجدوى والتصميم</w:t>
            </w:r>
          </w:p>
        </w:tc>
        <w:tc>
          <w:tcPr>
            <w:tcW w:type="dxa" w:w="2376"/>
            <w:vAlign w:val="center"/>
            <w:shd w:fill="F5F5F5"/>
          </w:tcPr>
          <w:p>
            <w:pPr>
              <w:bidi w:val="1"/>
              <w:spacing w:after="40" w:line="269" w:lineRule="auto"/>
              <w:jc w:val="start"/>
            </w:pPr>
            <w:r>
              <w:rPr>
                <w:rFonts w:ascii="Noto Sans Arabic" w:hAnsi="Noto Sans Arabic" w:cs="Noto Sans Arabic"/>
                <w:sz w:val="18"/>
                <w:rtl w:val="1"/>
                <w:szCs w:val="18"/>
              </w:rPr>
              <w:t>لجنة التوجيه ووحدة البرنامج</w:t>
            </w:r>
          </w:p>
        </w:tc>
        <w:tc>
          <w:tcPr>
            <w:tcW w:type="dxa" w:w="5760"/>
            <w:vAlign w:val="center"/>
            <w:shd w:fill="F5F5F5"/>
          </w:tcPr>
          <w:p>
            <w:pPr>
              <w:bidi w:val="1"/>
              <w:spacing w:after="40" w:line="269" w:lineRule="auto"/>
              <w:jc w:val="start"/>
            </w:pPr>
            <w:r>
              <w:rPr>
                <w:rFonts w:ascii="Noto Sans Arabic" w:hAnsi="Noto Sans Arabic" w:cs="Noto Sans Arabic"/>
                <w:sz w:val="18"/>
                <w:rtl w:val="1"/>
                <w:szCs w:val="18"/>
              </w:rPr>
              <w:t>احتياج مثبت، نتائج تعلم، جدول 16 أسبوعاً، إمكان استضافة العسكريين والمدنيين.</w:t>
            </w:r>
          </w:p>
        </w:tc>
      </w:tr>
      <w:tr>
        <w:trPr>
          <w:cantSplit/>
        </w:trPr>
        <w:tc>
          <w:tcPr>
            <w:tcW w:type="dxa" w:w="1800"/>
            <w:vAlign w:val="center"/>
            <w:shd w:fill="FFFFFF"/>
          </w:tcPr>
          <w:p>
            <w:pPr>
              <w:bidi w:val="1"/>
              <w:spacing w:after="40" w:line="269" w:lineRule="auto"/>
              <w:jc w:val="start"/>
            </w:pPr>
            <w:r>
              <w:rPr>
                <w:rFonts w:ascii="Noto Sans Arabic" w:hAnsi="Noto Sans Arabic" w:cs="Noto Sans Arabic"/>
                <w:sz w:val="18"/>
                <w:rtl w:val="1"/>
                <w:szCs w:val="18"/>
              </w:rPr>
              <w:t>جاهزية الإطلاق</w:t>
            </w:r>
          </w:p>
        </w:tc>
        <w:tc>
          <w:tcPr>
            <w:tcW w:type="dxa" w:w="2376"/>
            <w:vAlign w:val="center"/>
            <w:shd w:fill="FFFFFF"/>
          </w:tcPr>
          <w:p>
            <w:pPr>
              <w:bidi w:val="1"/>
              <w:spacing w:after="40" w:line="269" w:lineRule="auto"/>
              <w:jc w:val="start"/>
            </w:pPr>
            <w:r>
              <w:rPr>
                <w:rFonts w:ascii="Noto Sans Arabic" w:hAnsi="Noto Sans Arabic" w:cs="Noto Sans Arabic"/>
                <w:sz w:val="18"/>
                <w:rtl w:val="1"/>
                <w:szCs w:val="18"/>
              </w:rPr>
              <w:t>الراعي والمالية والجهات المختصة</w:t>
            </w:r>
          </w:p>
        </w:tc>
        <w:tc>
          <w:tcPr>
            <w:tcW w:type="dxa" w:w="5760"/>
            <w:vAlign w:val="center"/>
            <w:shd w:fill="FFFFFF"/>
          </w:tcPr>
          <w:p>
            <w:pPr>
              <w:bidi w:val="1"/>
              <w:spacing w:after="40" w:line="269" w:lineRule="auto"/>
              <w:jc w:val="start"/>
            </w:pPr>
            <w:r>
              <w:rPr>
                <w:rFonts w:ascii="Noto Sans Arabic" w:hAnsi="Noto Sans Arabic" w:cs="Noto Sans Arabic"/>
                <w:sz w:val="18"/>
                <w:rtl w:val="1"/>
                <w:szCs w:val="18"/>
              </w:rPr>
              <w:t>اتفاقات مضيفين، تكلفة موثقة وممولة، معايير اختيار، خطة سفر ومعلومات وتقييم.</w:t>
            </w:r>
          </w:p>
        </w:tc>
      </w:tr>
      <w:tr>
        <w:trPr>
          <w:cantSplit/>
        </w:trPr>
        <w:tc>
          <w:tcPr>
            <w:tcW w:type="dxa" w:w="1800"/>
            <w:vAlign w:val="center"/>
            <w:shd w:fill="F5F5F5"/>
          </w:tcPr>
          <w:p>
            <w:pPr>
              <w:bidi w:val="1"/>
              <w:spacing w:after="40" w:line="269" w:lineRule="auto"/>
              <w:jc w:val="start"/>
            </w:pPr>
            <w:r>
              <w:rPr>
                <w:rFonts w:ascii="Noto Sans Arabic" w:hAnsi="Noto Sans Arabic" w:cs="Noto Sans Arabic"/>
                <w:sz w:val="18"/>
                <w:rtl w:val="1"/>
                <w:szCs w:val="18"/>
              </w:rPr>
              <w:t>تنفيذ التجربة</w:t>
            </w:r>
          </w:p>
        </w:tc>
        <w:tc>
          <w:tcPr>
            <w:tcW w:type="dxa" w:w="2376"/>
            <w:vAlign w:val="center"/>
            <w:shd w:fill="F5F5F5"/>
          </w:tcPr>
          <w:p>
            <w:pPr>
              <w:bidi w:val="1"/>
              <w:spacing w:after="40" w:line="269" w:lineRule="auto"/>
              <w:jc w:val="start"/>
            </w:pPr>
            <w:r>
              <w:rPr>
                <w:rFonts w:ascii="Noto Sans Arabic" w:hAnsi="Noto Sans Arabic" w:cs="Noto Sans Arabic"/>
                <w:sz w:val="18"/>
                <w:rtl w:val="1"/>
                <w:szCs w:val="18"/>
              </w:rPr>
              <w:t>مدير البرنامج والمضيفون</w:t>
            </w:r>
          </w:p>
        </w:tc>
        <w:tc>
          <w:tcPr>
            <w:tcW w:type="dxa" w:w="5760"/>
            <w:vAlign w:val="center"/>
            <w:shd w:fill="F5F5F5"/>
          </w:tcPr>
          <w:p>
            <w:pPr>
              <w:bidi w:val="1"/>
              <w:spacing w:after="40" w:line="269" w:lineRule="auto"/>
              <w:jc w:val="start"/>
            </w:pPr>
            <w:r>
              <w:rPr>
                <w:rFonts w:ascii="Noto Sans Arabic" w:hAnsi="Noto Sans Arabic" w:cs="Noto Sans Arabic"/>
                <w:sz w:val="18"/>
                <w:rtl w:val="1"/>
                <w:szCs w:val="18"/>
              </w:rPr>
              <w:t>مراجعات أسبوعية، قرارات بوابات المحطات، معالجة حالات التعثر.</w:t>
            </w:r>
          </w:p>
        </w:tc>
      </w:tr>
      <w:tr>
        <w:trPr>
          <w:cantSplit/>
        </w:trPr>
        <w:tc>
          <w:tcPr>
            <w:tcW w:type="dxa" w:w="1800"/>
            <w:vAlign w:val="center"/>
            <w:shd w:fill="FFFFFF"/>
          </w:tcPr>
          <w:p>
            <w:pPr>
              <w:bidi w:val="1"/>
              <w:spacing w:after="40" w:line="269" w:lineRule="auto"/>
              <w:jc w:val="start"/>
            </w:pPr>
            <w:r>
              <w:rPr>
                <w:rFonts w:ascii="Noto Sans Arabic" w:hAnsi="Noto Sans Arabic" w:cs="Noto Sans Arabic"/>
                <w:sz w:val="18"/>
                <w:rtl w:val="1"/>
                <w:szCs w:val="18"/>
              </w:rPr>
              <w:t>التبني المستدام</w:t>
            </w:r>
          </w:p>
        </w:tc>
        <w:tc>
          <w:tcPr>
            <w:tcW w:type="dxa" w:w="2376"/>
            <w:vAlign w:val="center"/>
            <w:shd w:fill="FFFFFF"/>
          </w:tcPr>
          <w:p>
            <w:pPr>
              <w:bidi w:val="1"/>
              <w:spacing w:after="40" w:line="269" w:lineRule="auto"/>
              <w:jc w:val="start"/>
            </w:pPr>
            <w:r>
              <w:rPr>
                <w:rFonts w:ascii="Noto Sans Arabic" w:hAnsi="Noto Sans Arabic" w:cs="Noto Sans Arabic"/>
                <w:sz w:val="18"/>
                <w:rtl w:val="1"/>
                <w:szCs w:val="18"/>
              </w:rPr>
              <w:t>الراعي ومالكو المنافع</w:t>
            </w:r>
          </w:p>
        </w:tc>
        <w:tc>
          <w:tcPr>
            <w:tcW w:type="dxa" w:w="5760"/>
            <w:vAlign w:val="center"/>
            <w:shd w:fill="FFFFFF"/>
          </w:tcPr>
          <w:p>
            <w:pPr>
              <w:bidi w:val="1"/>
              <w:spacing w:after="40" w:line="269" w:lineRule="auto"/>
              <w:jc w:val="start"/>
            </w:pPr>
            <w:r>
              <w:rPr>
                <w:rFonts w:ascii="Noto Sans Arabic" w:hAnsi="Noto Sans Arabic" w:cs="Noto Sans Arabic"/>
                <w:sz w:val="18"/>
                <w:rtl w:val="1"/>
                <w:szCs w:val="18"/>
              </w:rPr>
              <w:t>نتائج تجربة ومراجعات 90 و180 و365 يوماً وقرار استمرار أو تعديل.</w:t>
            </w:r>
          </w:p>
        </w:tc>
      </w:tr>
    </w:tbl>
    <w:p>
      <w:pPr>
        <w:spacing w:after="60"/>
      </w:pPr>
    </w:p>
    <w:p>
      <w:pPr>
        <w:pStyle w:val="Heading1"/>
        <w:bidi w:val="1"/>
        <w:jc w:val="start"/>
      </w:pPr>
      <w:r>
        <w:rPr>
          <w:rFonts w:ascii="Noto Sans Arabic" w:hAnsi="Noto Sans Arabic" w:cs="Noto Sans Arabic"/>
          <w:sz w:val="30"/>
          <w:rtl w:val="1"/>
          <w:szCs w:val="30"/>
        </w:rPr>
        <w:t>متابعة الأثر بعد البرنامج</w:t>
      </w:r>
    </w:p>
    <w:p>
      <w:pPr>
        <w:bidi w:val="1"/>
        <w:jc w:val="start"/>
      </w:pPr>
      <w:r>
        <w:rPr>
          <w:rFonts w:ascii="Noto Sans Arabic" w:hAnsi="Noto Sans Arabic" w:cs="Noto Sans Arabic"/>
          <w:sz w:val="21"/>
          <w:rtl w:val="1"/>
          <w:szCs w:val="21"/>
        </w:rPr>
        <w:t>المتابعة المقترحة 12 شهراً وتشمل ثماني نقاط إرشاد في الأشهر 1 و2 و3 و4 و6 و8 و10 و12. توثق أهداف التطوير وتطبيق المشروع وتحديات العودة إلى العمل وملاحظات المدير المباشر.</w:t>
      </w:r>
    </w:p>
    <w:p>
      <w:pPr>
        <w:bidi w:val="1"/>
        <w:jc w:val="start"/>
      </w:pPr>
      <w:r>
        <w:rPr>
          <w:rFonts w:ascii="Noto Sans Arabic" w:hAnsi="Noto Sans Arabic" w:cs="Noto Sans Arabic"/>
          <w:sz w:val="21"/>
          <w:rtl w:val="1"/>
          <w:szCs w:val="21"/>
        </w:rPr>
        <w:t>تقاس جودة التنفيذ باكتمال الأدلة والتغذية الراجعة، ويقاس التعلم بمهام أداء قبل البرنامج وبعده، ويقاس الانتقال إلى العمل بأمثلة موثقة من المدير والمرشد، وتقاس المنفعة بنتيجة المشروع مقارنة بخط أساس متفق عليه.</w:t>
      </w:r>
    </w:p>
    <w:p>
      <w:pPr>
        <w:bidi w:val="1"/>
        <w:jc w:val="start"/>
      </w:pPr>
      <w:r>
        <w:rPr>
          <w:rFonts w:ascii="Noto Sans Arabic" w:hAnsi="Noto Sans Arabic" w:cs="Noto Sans Arabic"/>
          <w:sz w:val="21"/>
          <w:rtl w:val="1"/>
          <w:szCs w:val="21"/>
        </w:rPr>
        <w:t>تُعرض المقامات وحجم العينة وحالات عدم الاستجابة. أهداف مثل تحسن الجاهزية أو تقليل زمن إجراء تحتاج إلى تعريف ومالك بيانات؛ لا تُعرض كوعود أو نتائج محققة. وعند الإمكان تستخدم مجموعة مقارنة مناسبة مع مراعاة اختلاف الوظائف.</w:t>
      </w:r>
    </w:p>
    <w:p>
      <w:pPr>
        <w:pStyle w:val="Heading1"/>
        <w:bidi w:val="1"/>
        <w:jc w:val="start"/>
      </w:pPr>
      <w:r>
        <w:rPr>
          <w:rFonts w:ascii="Noto Sans Arabic" w:hAnsi="Noto Sans Arabic" w:cs="Noto Sans Arabic"/>
          <w:sz w:val="30"/>
          <w:rtl w:val="1"/>
          <w:szCs w:val="30"/>
        </w:rPr>
        <w:t>نموذج التكلفة والتمويل</w:t>
      </w:r>
    </w:p>
    <w:p>
      <w:pPr>
        <w:bidi w:val="1"/>
        <w:jc w:val="start"/>
      </w:pPr>
      <w:r>
        <w:rPr>
          <w:rFonts w:ascii="Noto Sans Arabic" w:hAnsi="Noto Sans Arabic" w:cs="Noto Sans Arabic"/>
          <w:sz w:val="21"/>
          <w:rtl w:val="1"/>
          <w:szCs w:val="21"/>
        </w:rPr>
        <w:t>تحسب تكلفة الدورة من نفقات تأسيس ثابتة ورسوم تدريب وسفر وإقامة ومعيشة وتأمين ودعم لكل مشارك، ثم احتياطي معتمد. تشمل التكلفة الاقتصادية وقت التفرغ والإحلال والفرصة البديلة حتى إن لم تكن دفعات إضافية.</w:t>
      </w:r>
    </w:p>
    <w:p>
      <w:pPr>
        <w:bidi w:val="1"/>
        <w:jc w:val="start"/>
      </w:pPr>
      <w:r>
        <w:rPr>
          <w:rFonts w:ascii="Noto Sans Arabic" w:hAnsi="Noto Sans Arabic" w:cs="Noto Sans Arabic"/>
          <w:sz w:val="21"/>
          <w:rtl w:val="1"/>
          <w:szCs w:val="21"/>
        </w:rPr>
        <w:t>يعرض الموقع حاسبة تخطيط بمدخلات افتراضية قابلة للتعديل. افتراضها 91 يوماً خارج الدولة ضمن توزيع 3 و6 و3 و4 أسابيع. عدد ليالي الإقامة الفعلي وأيام السفر والرسوم والضرائب والتأمين تحدد بعروض وترتيبات موثقة. لا تمثل الأرقام تسعيراً من المضيفين أو طلب اعتماد ميزانية.</w:t>
      </w:r>
    </w:p>
    <w:p>
      <w:pPr>
        <w:bidi w:val="1"/>
        <w:jc w:val="start"/>
      </w:pPr>
      <w:r>
        <w:rPr>
          <w:rFonts w:ascii="Noto Sans Arabic" w:hAnsi="Noto Sans Arabic" w:cs="Noto Sans Arabic"/>
          <w:sz w:val="21"/>
          <w:rtl w:val="1"/>
          <w:szCs w:val="21"/>
        </w:rPr>
        <w:t>قبل قرار الإطلاق، تعرض المالية ثلاث حالات لحجم الدفعة حتى 20 مشاركاً، مع حساسية أسعار الصرف والإلغاء والتأخير ونطاق يشمل جميع البنود. يحدد السقف المالي بعد التحقق ولا يستنتج من بيانات العرض.</w:t>
      </w:r>
    </w:p>
    <w:p>
      <w:pPr>
        <w:pStyle w:val="Heading1"/>
        <w:bidi w:val="1"/>
        <w:jc w:val="start"/>
      </w:pPr>
      <w:r>
        <w:rPr>
          <w:rFonts w:ascii="Noto Sans Arabic" w:hAnsi="Noto Sans Arabic" w:cs="Noto Sans Arabic"/>
          <w:sz w:val="30"/>
          <w:rtl w:val="1"/>
          <w:szCs w:val="30"/>
        </w:rPr>
        <w:t>المخاطر ومعالجتها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088"/>
        <w:gridCol w:w="5544"/>
        <w:gridCol w:w="2304"/>
      </w:tblGrid>
      <w:tr>
        <w:trPr>
          <w:tblHeader/>
        </w:trPr>
        <w:tc>
          <w:tcPr>
            <w:tcW w:type="dxa" w:w="2088"/>
            <w:vAlign w:val="center"/>
            <w:shd w:fill="333333"/>
          </w:tcPr>
          <w:p>
            <w:pPr>
              <w:bidi w:val="1"/>
              <w:spacing w:after="40" w:line="269" w:lineRule="auto"/>
              <w:jc w:val="start"/>
            </w:pPr>
            <w:r>
              <w:rPr>
                <w:rFonts w:ascii="Noto Sans Arabic" w:hAnsi="Noto Sans Arabic" w:cs="Noto Sans Arabic"/>
                <w:b/>
                <w:color w:val="FFFFFF"/>
                <w:sz w:val="18"/>
                <w:rtl w:val="1"/>
                <w:szCs w:val="18"/>
              </w:rPr>
              <w:t>الخطر</w:t>
            </w:r>
          </w:p>
        </w:tc>
        <w:tc>
          <w:tcPr>
            <w:tcW w:type="dxa" w:w="5544"/>
            <w:vAlign w:val="center"/>
            <w:shd w:fill="333333"/>
          </w:tcPr>
          <w:p>
            <w:pPr>
              <w:bidi w:val="1"/>
              <w:spacing w:after="40" w:line="269" w:lineRule="auto"/>
              <w:jc w:val="start"/>
            </w:pPr>
            <w:r>
              <w:rPr>
                <w:rFonts w:ascii="Noto Sans Arabic" w:hAnsi="Noto Sans Arabic" w:cs="Noto Sans Arabic"/>
                <w:b/>
                <w:color w:val="FFFFFF"/>
                <w:sz w:val="18"/>
                <w:rtl w:val="1"/>
                <w:szCs w:val="18"/>
              </w:rPr>
              <w:t>المعالجة</w:t>
            </w:r>
          </w:p>
        </w:tc>
        <w:tc>
          <w:tcPr>
            <w:tcW w:type="dxa" w:w="2304"/>
            <w:vAlign w:val="center"/>
            <w:shd w:fill="333333"/>
          </w:tcPr>
          <w:p>
            <w:pPr>
              <w:bidi w:val="1"/>
              <w:spacing w:after="40" w:line="269" w:lineRule="auto"/>
              <w:jc w:val="start"/>
            </w:pPr>
            <w:r>
              <w:rPr>
                <w:rFonts w:ascii="Noto Sans Arabic" w:hAnsi="Noto Sans Arabic" w:cs="Noto Sans Arabic"/>
                <w:b/>
                <w:color w:val="FFFFFF"/>
                <w:sz w:val="18"/>
                <w:rtl w:val="1"/>
                <w:szCs w:val="18"/>
              </w:rPr>
              <w:t>المالك المقترح</w:t>
            </w:r>
          </w:p>
        </w:tc>
      </w:tr>
      <w:tr>
        <w:trPr>
          <w:cantSplit/>
        </w:trPr>
        <w:tc>
          <w:tcPr>
            <w:tcW w:type="dxa" w:w="2088"/>
            <w:vAlign w:val="center"/>
            <w:shd w:fill="FFFFFF"/>
          </w:tcPr>
          <w:p>
            <w:pPr>
              <w:bidi w:val="1"/>
              <w:spacing w:after="40" w:line="269" w:lineRule="auto"/>
              <w:jc w:val="start"/>
            </w:pPr>
            <w:r>
              <w:rPr>
                <w:rFonts w:ascii="Noto Sans Arabic" w:hAnsi="Noto Sans Arabic" w:cs="Noto Sans Arabic"/>
                <w:sz w:val="18"/>
                <w:rtl w:val="1"/>
                <w:szCs w:val="18"/>
              </w:rPr>
              <w:t>تعذر استضافة أو أهلية مدنية</w:t>
            </w:r>
          </w:p>
        </w:tc>
        <w:tc>
          <w:tcPr>
            <w:tcW w:type="dxa" w:w="5544"/>
            <w:vAlign w:val="center"/>
            <w:shd w:fill="FFFFFF"/>
          </w:tcPr>
          <w:p>
            <w:pPr>
              <w:bidi w:val="1"/>
              <w:spacing w:after="40" w:line="269" w:lineRule="auto"/>
              <w:jc w:val="start"/>
            </w:pPr>
            <w:r>
              <w:rPr>
                <w:rFonts w:ascii="Noto Sans Arabic" w:hAnsi="Noto Sans Arabic" w:cs="Noto Sans Arabic"/>
                <w:sz w:val="18"/>
                <w:rtl w:val="1"/>
                <w:szCs w:val="18"/>
              </w:rPr>
              <w:t>اتفاق مكتوب بمسار مخصص؛ لا يُستبدل المضيف الثابت دون قرار صاحب المبادرة والوزارة.</w:t>
            </w:r>
          </w:p>
        </w:tc>
        <w:tc>
          <w:tcPr>
            <w:tcW w:type="dxa" w:w="2304"/>
            <w:vAlign w:val="center"/>
            <w:shd w:fill="FFFFFF"/>
          </w:tcPr>
          <w:p>
            <w:pPr>
              <w:bidi w:val="1"/>
              <w:spacing w:after="40" w:line="269" w:lineRule="auto"/>
              <w:jc w:val="start"/>
            </w:pPr>
            <w:r>
              <w:rPr>
                <w:rFonts w:ascii="Noto Sans Arabic" w:hAnsi="Noto Sans Arabic" w:cs="Noto Sans Arabic"/>
                <w:sz w:val="18"/>
                <w:rtl w:val="1"/>
                <w:szCs w:val="18"/>
              </w:rPr>
              <w:t>التعاون الدولي</w:t>
            </w:r>
          </w:p>
        </w:tc>
      </w:tr>
      <w:tr>
        <w:trPr>
          <w:cantSplit/>
        </w:trPr>
        <w:tc>
          <w:tcPr>
            <w:tcW w:type="dxa" w:w="2088"/>
            <w:vAlign w:val="center"/>
            <w:shd w:fill="F5F5F5"/>
          </w:tcPr>
          <w:p>
            <w:pPr>
              <w:bidi w:val="1"/>
              <w:spacing w:after="40" w:line="269" w:lineRule="auto"/>
              <w:jc w:val="start"/>
            </w:pPr>
            <w:r>
              <w:rPr>
                <w:rFonts w:ascii="Noto Sans Arabic" w:hAnsi="Noto Sans Arabic" w:cs="Noto Sans Arabic"/>
                <w:sz w:val="18"/>
                <w:rtl w:val="1"/>
                <w:szCs w:val="18"/>
              </w:rPr>
              <w:t>اضطراب السفر أو الجيوسياسة</w:t>
            </w:r>
          </w:p>
        </w:tc>
        <w:tc>
          <w:tcPr>
            <w:tcW w:type="dxa" w:w="5544"/>
            <w:vAlign w:val="center"/>
            <w:shd w:fill="F5F5F5"/>
          </w:tcPr>
          <w:p>
            <w:pPr>
              <w:bidi w:val="1"/>
              <w:spacing w:after="40" w:line="269" w:lineRule="auto"/>
              <w:jc w:val="start"/>
            </w:pPr>
            <w:r>
              <w:rPr>
                <w:rFonts w:ascii="Noto Sans Arabic" w:hAnsi="Noto Sans Arabic" w:cs="Noto Sans Arabic"/>
                <w:sz w:val="18"/>
                <w:rtl w:val="1"/>
                <w:szCs w:val="18"/>
              </w:rPr>
              <w:t>مراجعة الجاهزية قبل الإطلاق وخطة استجابة تحافظ على القيود أو تعيد القرار للراعي.</w:t>
            </w:r>
          </w:p>
        </w:tc>
        <w:tc>
          <w:tcPr>
            <w:tcW w:type="dxa" w:w="2304"/>
            <w:vAlign w:val="center"/>
            <w:shd w:fill="F5F5F5"/>
          </w:tcPr>
          <w:p>
            <w:pPr>
              <w:bidi w:val="1"/>
              <w:spacing w:after="40" w:line="269" w:lineRule="auto"/>
              <w:jc w:val="start"/>
            </w:pPr>
            <w:r>
              <w:rPr>
                <w:rFonts w:ascii="Noto Sans Arabic" w:hAnsi="Noto Sans Arabic" w:cs="Noto Sans Arabic"/>
                <w:sz w:val="18"/>
                <w:rtl w:val="1"/>
                <w:szCs w:val="18"/>
              </w:rPr>
              <w:t>مدير البرنامج</w:t>
            </w:r>
          </w:p>
        </w:tc>
      </w:tr>
      <w:tr>
        <w:trPr>
          <w:cantSplit/>
        </w:trPr>
        <w:tc>
          <w:tcPr>
            <w:tcW w:type="dxa" w:w="2088"/>
            <w:vAlign w:val="center"/>
            <w:shd w:fill="FFFFFF"/>
          </w:tcPr>
          <w:p>
            <w:pPr>
              <w:bidi w:val="1"/>
              <w:spacing w:after="40" w:line="269" w:lineRule="auto"/>
              <w:jc w:val="start"/>
            </w:pPr>
            <w:r>
              <w:rPr>
                <w:rFonts w:ascii="Noto Sans Arabic" w:hAnsi="Noto Sans Arabic" w:cs="Noto Sans Arabic"/>
                <w:sz w:val="18"/>
                <w:rtl w:val="1"/>
                <w:szCs w:val="18"/>
              </w:rPr>
              <w:t>تحيز الاختيار أو التقييم</w:t>
            </w:r>
          </w:p>
        </w:tc>
        <w:tc>
          <w:tcPr>
            <w:tcW w:type="dxa" w:w="5544"/>
            <w:vAlign w:val="center"/>
            <w:shd w:fill="FFFFFF"/>
          </w:tcPr>
          <w:p>
            <w:pPr>
              <w:bidi w:val="1"/>
              <w:spacing w:after="40" w:line="269" w:lineRule="auto"/>
              <w:jc w:val="start"/>
            </w:pPr>
            <w:r>
              <w:rPr>
                <w:rFonts w:ascii="Noto Sans Arabic" w:hAnsi="Noto Sans Arabic" w:cs="Noto Sans Arabic"/>
                <w:sz w:val="18"/>
                <w:rtl w:val="1"/>
                <w:szCs w:val="18"/>
              </w:rPr>
              <w:t>معايير سلوكية ومقيمان ومعايرة وتعارض مصالح ومراجعة قرار.</w:t>
            </w:r>
          </w:p>
        </w:tc>
        <w:tc>
          <w:tcPr>
            <w:tcW w:type="dxa" w:w="2304"/>
            <w:vAlign w:val="center"/>
            <w:shd w:fill="FFFFFF"/>
          </w:tcPr>
          <w:p>
            <w:pPr>
              <w:bidi w:val="1"/>
              <w:spacing w:after="40" w:line="269" w:lineRule="auto"/>
              <w:jc w:val="start"/>
            </w:pPr>
            <w:r>
              <w:rPr>
                <w:rFonts w:ascii="Noto Sans Arabic" w:hAnsi="Noto Sans Arabic" w:cs="Noto Sans Arabic"/>
                <w:sz w:val="18"/>
                <w:rtl w:val="1"/>
                <w:szCs w:val="18"/>
              </w:rPr>
              <w:t>لجنة التقييم</w:t>
            </w:r>
          </w:p>
        </w:tc>
      </w:tr>
      <w:tr>
        <w:trPr>
          <w:cantSplit/>
        </w:trPr>
        <w:tc>
          <w:tcPr>
            <w:tcW w:type="dxa" w:w="2088"/>
            <w:vAlign w:val="center"/>
            <w:shd w:fill="F5F5F5"/>
          </w:tcPr>
          <w:p>
            <w:pPr>
              <w:bidi w:val="1"/>
              <w:spacing w:after="40" w:line="269" w:lineRule="auto"/>
              <w:jc w:val="start"/>
            </w:pPr>
            <w:r>
              <w:rPr>
                <w:rFonts w:ascii="Noto Sans Arabic" w:hAnsi="Noto Sans Arabic" w:cs="Noto Sans Arabic"/>
                <w:sz w:val="18"/>
                <w:rtl w:val="1"/>
                <w:szCs w:val="18"/>
              </w:rPr>
              <w:t>ضعف انتقال التعلم إلى العمل</w:t>
            </w:r>
          </w:p>
        </w:tc>
        <w:tc>
          <w:tcPr>
            <w:tcW w:type="dxa" w:w="5544"/>
            <w:vAlign w:val="center"/>
            <w:shd w:fill="F5F5F5"/>
          </w:tcPr>
          <w:p>
            <w:pPr>
              <w:bidi w:val="1"/>
              <w:spacing w:after="40" w:line="269" w:lineRule="auto"/>
              <w:jc w:val="start"/>
            </w:pPr>
            <w:r>
              <w:rPr>
                <w:rFonts w:ascii="Noto Sans Arabic" w:hAnsi="Noto Sans Arabic" w:cs="Noto Sans Arabic"/>
                <w:sz w:val="18"/>
                <w:rtl w:val="1"/>
                <w:szCs w:val="18"/>
              </w:rPr>
              <w:t>مالك منفعة ووقت مخصص للتطبيق وإرشاد ومتابعة 12 شهراً.</w:t>
            </w:r>
          </w:p>
        </w:tc>
        <w:tc>
          <w:tcPr>
            <w:tcW w:type="dxa" w:w="2304"/>
            <w:vAlign w:val="center"/>
            <w:shd w:fill="F5F5F5"/>
          </w:tcPr>
          <w:p>
            <w:pPr>
              <w:bidi w:val="1"/>
              <w:spacing w:after="40" w:line="269" w:lineRule="auto"/>
              <w:jc w:val="start"/>
            </w:pPr>
            <w:r>
              <w:rPr>
                <w:rFonts w:ascii="Noto Sans Arabic" w:hAnsi="Noto Sans Arabic" w:cs="Noto Sans Arabic"/>
                <w:sz w:val="18"/>
                <w:rtl w:val="1"/>
                <w:szCs w:val="18"/>
              </w:rPr>
              <w:t>المدير المباشر</w:t>
            </w:r>
          </w:p>
        </w:tc>
      </w:tr>
      <w:tr>
        <w:trPr>
          <w:cantSplit/>
        </w:trPr>
        <w:tc>
          <w:tcPr>
            <w:tcW w:type="dxa" w:w="2088"/>
            <w:vAlign w:val="center"/>
            <w:shd w:fill="FFFFFF"/>
          </w:tcPr>
          <w:p>
            <w:pPr>
              <w:bidi w:val="1"/>
              <w:spacing w:after="40" w:line="269" w:lineRule="auto"/>
              <w:jc w:val="start"/>
            </w:pPr>
            <w:r>
              <w:rPr>
                <w:rFonts w:ascii="Noto Sans Arabic" w:hAnsi="Noto Sans Arabic" w:cs="Noto Sans Arabic"/>
                <w:sz w:val="18"/>
                <w:rtl w:val="1"/>
                <w:szCs w:val="18"/>
              </w:rPr>
              <w:t>عدم ضبط التكلفة</w:t>
            </w:r>
          </w:p>
        </w:tc>
        <w:tc>
          <w:tcPr>
            <w:tcW w:type="dxa" w:w="5544"/>
            <w:vAlign w:val="center"/>
            <w:shd w:fill="FFFFFF"/>
          </w:tcPr>
          <w:p>
            <w:pPr>
              <w:bidi w:val="1"/>
              <w:spacing w:after="40" w:line="269" w:lineRule="auto"/>
              <w:jc w:val="start"/>
            </w:pPr>
            <w:r>
              <w:rPr>
                <w:rFonts w:ascii="Noto Sans Arabic" w:hAnsi="Noto Sans Arabic" w:cs="Noto Sans Arabic"/>
                <w:sz w:val="18"/>
                <w:rtl w:val="1"/>
                <w:szCs w:val="18"/>
              </w:rPr>
              <w:t>عروض موثقة ونطاق كامل واحتياطي ومراجعة تغيرات.</w:t>
            </w:r>
          </w:p>
        </w:tc>
        <w:tc>
          <w:tcPr>
            <w:tcW w:type="dxa" w:w="2304"/>
            <w:vAlign w:val="center"/>
            <w:shd w:fill="FFFFFF"/>
          </w:tcPr>
          <w:p>
            <w:pPr>
              <w:bidi w:val="1"/>
              <w:spacing w:after="40" w:line="269" w:lineRule="auto"/>
              <w:jc w:val="start"/>
            </w:pPr>
            <w:r>
              <w:rPr>
                <w:rFonts w:ascii="Noto Sans Arabic" w:hAnsi="Noto Sans Arabic" w:cs="Noto Sans Arabic"/>
                <w:sz w:val="18"/>
                <w:rtl w:val="1"/>
                <w:szCs w:val="18"/>
              </w:rPr>
              <w:t>المالية</w:t>
            </w:r>
          </w:p>
        </w:tc>
      </w:tr>
      <w:tr>
        <w:trPr>
          <w:cantSplit/>
        </w:trPr>
        <w:tc>
          <w:tcPr>
            <w:tcW w:type="dxa" w:w="2088"/>
            <w:vAlign w:val="center"/>
            <w:shd w:fill="F5F5F5"/>
          </w:tcPr>
          <w:p>
            <w:pPr>
              <w:bidi w:val="1"/>
              <w:spacing w:after="40" w:line="269" w:lineRule="auto"/>
              <w:jc w:val="start"/>
            </w:pPr>
            <w:r>
              <w:rPr>
                <w:rFonts w:ascii="Noto Sans Arabic" w:hAnsi="Noto Sans Arabic" w:cs="Noto Sans Arabic"/>
                <w:sz w:val="18"/>
                <w:rtl w:val="1"/>
                <w:szCs w:val="18"/>
              </w:rPr>
              <w:t>إدخال معلومات حقيقية في العرض</w:t>
            </w:r>
          </w:p>
        </w:tc>
        <w:tc>
          <w:tcPr>
            <w:tcW w:type="dxa" w:w="5544"/>
            <w:vAlign w:val="center"/>
            <w:shd w:fill="F5F5F5"/>
          </w:tcPr>
          <w:p>
            <w:pPr>
              <w:bidi w:val="1"/>
              <w:spacing w:after="40" w:line="269" w:lineRule="auto"/>
              <w:jc w:val="start"/>
            </w:pPr>
            <w:r>
              <w:rPr>
                <w:rFonts w:ascii="Noto Sans Arabic" w:hAnsi="Noto Sans Arabic" w:cs="Noto Sans Arabic"/>
                <w:sz w:val="18"/>
                <w:rtl w:val="1"/>
                <w:szCs w:val="18"/>
              </w:rPr>
              <w:t>بيانات افتراضية فقط؛ لا ربط بأنظمة الوزارة ولا استقبال وثائق أو معرفات فعلية.</w:t>
            </w:r>
          </w:p>
        </w:tc>
        <w:tc>
          <w:tcPr>
            <w:tcW w:type="dxa" w:w="2304"/>
            <w:vAlign w:val="center"/>
            <w:shd w:fill="F5F5F5"/>
          </w:tcPr>
          <w:p>
            <w:pPr>
              <w:bidi w:val="1"/>
              <w:spacing w:after="40" w:line="269" w:lineRule="auto"/>
              <w:jc w:val="start"/>
            </w:pPr>
            <w:r>
              <w:rPr>
                <w:rFonts w:ascii="Noto Sans Arabic" w:hAnsi="Noto Sans Arabic" w:cs="Noto Sans Arabic"/>
                <w:sz w:val="18"/>
                <w:rtl w:val="1"/>
                <w:szCs w:val="18"/>
              </w:rPr>
              <w:t>مالك المنصة</w:t>
            </w:r>
          </w:p>
        </w:tc>
      </w:tr>
    </w:tbl>
    <w:p>
      <w:pPr>
        <w:spacing w:after="60"/>
      </w:pPr>
    </w:p>
    <w:p>
      <w:pPr>
        <w:pStyle w:val="Heading1"/>
        <w:bidi w:val="1"/>
        <w:jc w:val="start"/>
      </w:pPr>
      <w:r>
        <w:rPr>
          <w:rFonts w:ascii="Noto Sans Arabic" w:hAnsi="Noto Sans Arabic" w:cs="Noto Sans Arabic"/>
          <w:sz w:val="30"/>
          <w:rtl w:val="1"/>
          <w:szCs w:val="30"/>
        </w:rPr>
        <w:t>المنظومة الرقمية وخارطة الانتقال</w:t>
      </w:r>
    </w:p>
    <w:p>
      <w:pPr>
        <w:bidi w:val="1"/>
        <w:jc w:val="start"/>
      </w:pPr>
      <w:r>
        <w:rPr>
          <w:rFonts w:ascii="Noto Sans Arabic" w:hAnsi="Noto Sans Arabic" w:cs="Noto Sans Arabic"/>
          <w:sz w:val="21"/>
          <w:rtl w:val="1"/>
          <w:szCs w:val="21"/>
        </w:rPr>
        <w:t>الإصدار الحالي عرض تفاعلي للترشيح والاختيار والتعلم والمتابعة والتقييم. جميع الملفات والأرقام والأسماء البديلة افتراضية. تحفظ تغييرات العرض في متصفح المستخدم فقط، ويمكن إعادة ضبطها؛ لا توجد حسابات فعلية أو رسائل أو إرسال إلى الوزارة.</w:t>
      </w:r>
    </w:p>
    <w:p>
      <w:pPr>
        <w:bidi w:val="1"/>
        <w:jc w:val="start"/>
      </w:pPr>
      <w:r>
        <w:rPr>
          <w:rFonts w:ascii="Noto Sans Arabic" w:hAnsi="Noto Sans Arabic" w:cs="Noto Sans Arabic"/>
          <w:sz w:val="21"/>
          <w:rtl w:val="1"/>
          <w:szCs w:val="21"/>
        </w:rPr>
        <w:t>قبل التشغيل الحقيقي يلزم اعتماد نموذج الأدوار والصلاحيات، والهوية المؤسسية، ومكان استضافة البيانات، والاحتفاظ والحذف، وسجل تدقيق على الخادم، وخطة الاستجابة والدعم، والتكاملات التي تختارها الوزارة. هذه متطلبات انتقال وليست قدرات أمنية متحققة في العرض.</w:t>
      </w:r>
    </w:p>
    <w:p>
      <w:pPr>
        <w:bidi w:val="1"/>
        <w:jc w:val="start"/>
      </w:pPr>
      <w:r>
        <w:rPr>
          <w:rFonts w:ascii="Noto Sans Arabic" w:hAnsi="Noto Sans Arabic" w:cs="Noto Sans Arabic"/>
          <w:sz w:val="21"/>
          <w:rtl w:val="1"/>
          <w:szCs w:val="21"/>
        </w:rPr>
        <w:t>تبدأ خارطة التنفيذ بتصميم تفصيلي وتحقق من المضيفين، ثم إعداد التجربة ومعايرة أدوات التقييم، ثم تنفيذ الدورة ذات الأسابيع الستة عشر، ثم متابعة الأثر ومراجعة التوسع. المواعيد الفعلية تُبنى على الموافقات والجاهزية ولا تُعلن كتاريخ إطلاق مؤكد.</w:t>
      </w:r>
    </w:p>
    <w:p>
      <w:r>
        <w:br w:type="page"/>
      </w:r>
    </w:p>
    <w:p>
      <w:pPr>
        <w:pStyle w:val="Heading1"/>
        <w:bidi w:val="1"/>
        <w:jc w:val="start"/>
      </w:pPr>
      <w:r>
        <w:rPr>
          <w:rFonts w:ascii="Noto Sans Arabic" w:hAnsi="Noto Sans Arabic" w:cs="Noto Sans Arabic"/>
          <w:sz w:val="30"/>
          <w:rtl w:val="1"/>
          <w:szCs w:val="30"/>
        </w:rPr>
        <w:t>ملحق المحطات والجهات المقترحة</w:t>
      </w:r>
    </w:p>
    <w:p>
      <w:pPr>
        <w:pStyle w:val="Heading2"/>
        <w:bidi w:val="1"/>
        <w:jc w:val="start"/>
      </w:pPr>
      <w:r>
        <w:rPr>
          <w:rFonts w:ascii="Noto Sans Arabic" w:hAnsi="Noto Sans Arabic" w:cs="Noto Sans Arabic"/>
          <w:sz w:val="24"/>
          <w:rtl w:val="1"/>
          <w:szCs w:val="24"/>
        </w:rPr>
        <w:t>الإمارات</w:t>
      </w:r>
    </w:p>
    <w:p>
      <w:pPr>
        <w:bidi w:val="1"/>
        <w:jc w:val="start"/>
      </w:pPr>
      <w:r>
        <w:rPr>
          <w:rFonts w:ascii="Noto Sans Arabic" w:hAnsi="Noto Sans Arabic" w:cs="Noto Sans Arabic"/>
          <w:sz w:val="21"/>
          <w:rtl w:val="1"/>
          <w:szCs w:val="21"/>
        </w:rPr>
        <w:t>الأسابيع 1–3  |  المنظومة الوطنية</w:t>
      </w:r>
    </w:p>
    <w:p>
      <w:pPr>
        <w:bidi w:val="1"/>
        <w:jc w:val="start"/>
      </w:pPr>
      <w:r>
        <w:rPr>
          <w:rFonts w:ascii="Noto Sans Arabic" w:hAnsi="Noto Sans Arabic" w:cs="Noto Sans Arabic"/>
          <w:sz w:val="21"/>
          <w:rtl w:val="1"/>
          <w:szCs w:val="21"/>
        </w:rPr>
        <w:t>تأسيس فهم مشترك لوزارة الدفاع ومنظومة تطوير القدرات، وربط الأولويات بالأفراد والموارد والصناعة والجاهزية.</w:t>
      </w:r>
    </w:p>
    <w:p>
      <w:pPr>
        <w:bidi w:val="1"/>
        <w:jc w:val="start"/>
      </w:pPr>
      <w:r>
        <w:rPr>
          <w:rFonts w:ascii="Noto Sans Arabic" w:hAnsi="Noto Sans Arabic" w:cs="Noto Sans Arabic"/>
          <w:sz w:val="21"/>
          <w:rtl w:val="1"/>
          <w:szCs w:val="21"/>
        </w:rPr>
        <w:t>الجهات والمسارات المقترحة: مجلس التوازن؛ مجموعة EDGE؛ GAL؛ معهد الابتكار التكنولوجي TII</w:t>
      </w:r>
    </w:p>
    <w:p>
      <w:pPr>
        <w:bidi w:val="1"/>
        <w:jc w:val="start"/>
      </w:pPr>
      <w:r>
        <w:rPr>
          <w:rFonts w:ascii="Noto Sans Arabic" w:hAnsi="Noto Sans Arabic" w:cs="Noto Sans Arabic"/>
          <w:sz w:val="21"/>
          <w:rtl w:val="1"/>
          <w:szCs w:val="21"/>
        </w:rPr>
        <w:t>المخرج: خريطة المنظومة، خط أساس للجدارات، وتحدٍ مؤسسي معتمد للدراسة.</w:t>
      </w:r>
    </w:p>
    <w:p>
      <w:pPr>
        <w:bidi w:val="1"/>
        <w:jc w:val="start"/>
      </w:pPr>
      <w:r>
        <w:rPr>
          <w:rFonts w:ascii="Noto Sans Arabic" w:hAnsi="Noto Sans Arabic" w:cs="Noto Sans Arabic"/>
          <w:sz w:val="21"/>
          <w:rtl w:val="1"/>
          <w:szCs w:val="21"/>
        </w:rPr>
        <w:t>تتضمن المحطة لقاءات مع وظائف الوزارة ذات الصلة، وفق التنسيق الرسمي.</w:t>
      </w:r>
    </w:p>
    <w:p>
      <w:pPr>
        <w:pStyle w:val="Heading2"/>
        <w:bidi w:val="1"/>
        <w:jc w:val="start"/>
      </w:pPr>
      <w:r>
        <w:rPr>
          <w:rFonts w:ascii="Noto Sans Arabic" w:hAnsi="Noto Sans Arabic" w:cs="Noto Sans Arabic"/>
          <w:sz w:val="24"/>
          <w:rtl w:val="1"/>
          <w:szCs w:val="24"/>
        </w:rPr>
        <w:t>المملكة المتحدة</w:t>
      </w:r>
    </w:p>
    <w:p>
      <w:pPr>
        <w:bidi w:val="1"/>
        <w:jc w:val="start"/>
      </w:pPr>
      <w:r>
        <w:rPr>
          <w:rFonts w:ascii="Noto Sans Arabic" w:hAnsi="Noto Sans Arabic" w:cs="Noto Sans Arabic"/>
          <w:sz w:val="21"/>
          <w:rtl w:val="1"/>
          <w:szCs w:val="21"/>
        </w:rPr>
        <w:t>الأسابيع 4–9  |  ساندهيرست • كوسفورد</w:t>
      </w:r>
    </w:p>
    <w:p>
      <w:pPr>
        <w:bidi w:val="1"/>
        <w:jc w:val="start"/>
      </w:pPr>
      <w:r>
        <w:rPr>
          <w:rFonts w:ascii="Noto Sans Arabic" w:hAnsi="Noto Sans Arabic" w:cs="Noto Sans Arabic"/>
          <w:sz w:val="21"/>
          <w:rtl w:val="1"/>
          <w:szCs w:val="21"/>
        </w:rPr>
        <w:t>قيادة الفرق، التقدير تحت الضغط، الانضباط المهني، وبناء القدرات الفنية وربطها بالجاهزية.</w:t>
      </w:r>
    </w:p>
    <w:p>
      <w:pPr>
        <w:bidi w:val="1"/>
        <w:jc w:val="start"/>
      </w:pPr>
      <w:r>
        <w:rPr>
          <w:rFonts w:ascii="Noto Sans Arabic" w:hAnsi="Noto Sans Arabic" w:cs="Noto Sans Arabic"/>
          <w:sz w:val="21"/>
          <w:rtl w:val="1"/>
          <w:szCs w:val="21"/>
        </w:rPr>
        <w:t>الجهات والمسارات المقترحة: الأكاديمية العسكرية الملكية ساندهيرست؛ RAF Cosford؛ أكاديمية الدفاع وجامعة كرانفيلد؛ برامج ومؤسسات وزارة الدفاع البريطانية ذات الصلة</w:t>
      </w:r>
    </w:p>
    <w:p>
      <w:pPr>
        <w:bidi w:val="1"/>
        <w:jc w:val="start"/>
      </w:pPr>
      <w:r>
        <w:rPr>
          <w:rFonts w:ascii="Noto Sans Arabic" w:hAnsi="Noto Sans Arabic" w:cs="Noto Sans Arabic"/>
          <w:sz w:val="21"/>
          <w:rtl w:val="1"/>
          <w:szCs w:val="21"/>
        </w:rPr>
        <w:t>المخرج: سجل ملاحظات قيادية، تمرين قرار، ومراجعة جاهزية منظومة.</w:t>
      </w:r>
    </w:p>
    <w:p>
      <w:pPr>
        <w:bidi w:val="1"/>
        <w:jc w:val="start"/>
      </w:pPr>
      <w:r>
        <w:rPr>
          <w:rFonts w:ascii="Noto Sans Arabic" w:hAnsi="Noto Sans Arabic" w:cs="Noto Sans Arabic"/>
          <w:sz w:val="21"/>
          <w:rtl w:val="1"/>
          <w:szCs w:val="21"/>
        </w:rPr>
        <w:t>مسار مخصص مقترح للعسكريين والمدنيين؛ لا يمثل قبولاً في دورة التأهيل العسكري النظامية أو وعداً بمؤهل عسكري.</w:t>
      </w:r>
    </w:p>
    <w:p>
      <w:pPr>
        <w:pStyle w:val="Heading2"/>
        <w:bidi w:val="1"/>
        <w:jc w:val="start"/>
      </w:pPr>
      <w:r>
        <w:rPr>
          <w:rFonts w:ascii="Noto Sans Arabic" w:hAnsi="Noto Sans Arabic" w:cs="Noto Sans Arabic"/>
          <w:sz w:val="24"/>
          <w:rtl w:val="1"/>
          <w:szCs w:val="24"/>
        </w:rPr>
        <w:t>فرنسا</w:t>
      </w:r>
    </w:p>
    <w:p>
      <w:pPr>
        <w:bidi w:val="1"/>
        <w:jc w:val="start"/>
      </w:pPr>
      <w:r>
        <w:rPr>
          <w:rFonts w:ascii="Noto Sans Arabic" w:hAnsi="Noto Sans Arabic" w:cs="Noto Sans Arabic"/>
          <w:sz w:val="21"/>
          <w:rtl w:val="1"/>
          <w:szCs w:val="21"/>
        </w:rPr>
        <w:t>الأسابيع 10–12  |  باريس • بوردو</w:t>
      </w:r>
    </w:p>
    <w:p>
      <w:pPr>
        <w:bidi w:val="1"/>
        <w:jc w:val="start"/>
      </w:pPr>
      <w:r>
        <w:rPr>
          <w:rFonts w:ascii="Noto Sans Arabic" w:hAnsi="Noto Sans Arabic" w:cs="Noto Sans Arabic"/>
          <w:sz w:val="21"/>
          <w:rtl w:val="1"/>
          <w:szCs w:val="21"/>
        </w:rPr>
        <w:t>الشراكات والاستثمار والهندسة والتكامل ونقل المعرفة، مع فهم العلاقة بين السياسات والقرارات الصناعية ودورة الاستحواذ.</w:t>
      </w:r>
    </w:p>
    <w:p>
      <w:pPr>
        <w:bidi w:val="1"/>
        <w:jc w:val="start"/>
      </w:pPr>
      <w:r>
        <w:rPr>
          <w:rFonts w:ascii="Noto Sans Arabic" w:hAnsi="Noto Sans Arabic" w:cs="Noto Sans Arabic"/>
          <w:sz w:val="21"/>
          <w:rtl w:val="1"/>
          <w:szCs w:val="21"/>
        </w:rPr>
        <w:t>الجهات والمسارات المقترحة: EDGE Europe — باريس؛ مسار الهندسة والتكامل في بوردو</w:t>
      </w:r>
    </w:p>
    <w:p>
      <w:pPr>
        <w:bidi w:val="1"/>
        <w:jc w:val="start"/>
      </w:pPr>
      <w:r>
        <w:rPr>
          <w:rFonts w:ascii="Noto Sans Arabic" w:hAnsi="Noto Sans Arabic" w:cs="Noto Sans Arabic"/>
          <w:sz w:val="21"/>
          <w:rtl w:val="1"/>
          <w:szCs w:val="21"/>
        </w:rPr>
        <w:t>المخرج: حالة شراكة أو استحواذ تتضمن التكامل والمخاطر ونقل المعرفة.</w:t>
      </w:r>
    </w:p>
    <w:p>
      <w:pPr>
        <w:bidi w:val="1"/>
        <w:jc w:val="start"/>
      </w:pPr>
      <w:r>
        <w:rPr>
          <w:rFonts w:ascii="Noto Sans Arabic" w:hAnsi="Noto Sans Arabic" w:cs="Noto Sans Arabic"/>
          <w:sz w:val="21"/>
          <w:rtl w:val="1"/>
          <w:szCs w:val="21"/>
        </w:rPr>
        <w:t>تبقى EDGE Europe محور المحطة. يحدد نطاق الوصول إلى المواقع والأنشطة بالتنسيق مع الجهة المضيفة.</w:t>
      </w:r>
    </w:p>
    <w:p>
      <w:pPr>
        <w:pStyle w:val="Heading2"/>
        <w:bidi w:val="1"/>
        <w:jc w:val="start"/>
      </w:pPr>
      <w:r>
        <w:rPr>
          <w:rFonts w:ascii="Noto Sans Arabic" w:hAnsi="Noto Sans Arabic" w:cs="Noto Sans Arabic"/>
          <w:sz w:val="24"/>
          <w:rtl w:val="1"/>
          <w:szCs w:val="24"/>
        </w:rPr>
        <w:t>الولايات المتحدة</w:t>
      </w:r>
    </w:p>
    <w:p>
      <w:pPr>
        <w:bidi w:val="1"/>
        <w:jc w:val="start"/>
      </w:pPr>
      <w:r>
        <w:rPr>
          <w:rFonts w:ascii="Noto Sans Arabic" w:hAnsi="Noto Sans Arabic" w:cs="Noto Sans Arabic"/>
          <w:sz w:val="21"/>
          <w:rtl w:val="1"/>
          <w:szCs w:val="21"/>
        </w:rPr>
        <w:t>الأسابيع 13–16  |  التعاون الحكومي • الاستحواذ</w:t>
      </w:r>
    </w:p>
    <w:p>
      <w:pPr>
        <w:bidi w:val="1"/>
        <w:jc w:val="start"/>
      </w:pPr>
      <w:r>
        <w:rPr>
          <w:rFonts w:ascii="Noto Sans Arabic" w:hAnsi="Noto Sans Arabic" w:cs="Noto Sans Arabic"/>
          <w:sz w:val="21"/>
          <w:rtl w:val="1"/>
          <w:szCs w:val="21"/>
        </w:rPr>
        <w:t>التعاون الحكومي وبرنامج FMS وإدارة الاستحواذ والبرامج والقيادة الاستراتيجية، وصولاً إلى عرض مشروع الأثر أمام لجنة تقييم.</w:t>
      </w:r>
    </w:p>
    <w:p>
      <w:pPr>
        <w:bidi w:val="1"/>
        <w:jc w:val="start"/>
      </w:pPr>
      <w:r>
        <w:rPr>
          <w:rFonts w:ascii="Noto Sans Arabic" w:hAnsi="Noto Sans Arabic" w:cs="Noto Sans Arabic"/>
          <w:sz w:val="21"/>
          <w:rtl w:val="1"/>
          <w:szCs w:val="21"/>
        </w:rPr>
        <w:t>الجهات والمسارات المقترحة: DSCA وDSCU؛ Naval Postgraduate School — مسار إدارة الموارد الدفاعية؛ مسار التعاون الحكومي والأمني وبرنامج FMS؛ مسار الاستحواذ وإدارة البرامج والعقود؛ الكليات العسكرية وبرامج القيادة الاستراتيجية؛ تطبيق عملي لدى جهة تنفيذية أو مكتب برنامج</w:t>
      </w:r>
    </w:p>
    <w:p>
      <w:pPr>
        <w:bidi w:val="1"/>
        <w:jc w:val="start"/>
      </w:pPr>
      <w:r>
        <w:rPr>
          <w:rFonts w:ascii="Noto Sans Arabic" w:hAnsi="Noto Sans Arabic" w:cs="Noto Sans Arabic"/>
          <w:sz w:val="21"/>
          <w:rtl w:val="1"/>
          <w:szCs w:val="21"/>
        </w:rPr>
        <w:t>المخرج: موجز تنفيذي لمشروع الأثر وخطة تطبيق خلال 90 يوماً.</w:t>
      </w:r>
    </w:p>
    <w:p>
      <w:pPr>
        <w:bidi w:val="1"/>
        <w:jc w:val="start"/>
      </w:pPr>
      <w:r>
        <w:rPr>
          <w:rFonts w:ascii="Noto Sans Arabic" w:hAnsi="Noto Sans Arabic" w:cs="Noto Sans Arabic"/>
          <w:sz w:val="21"/>
          <w:rtl w:val="1"/>
          <w:szCs w:val="21"/>
        </w:rPr>
        <w:t>الجهات الأمريكية والمسارات محددة كمقترحات وليست استضافات متفقاً عليها. تُنسّق المدد والأهلية والمواقع لتلائم المحطة ذات الأسابيع الأربعة.</w:t>
      </w:r>
    </w:p>
    <w:p>
      <w:pPr>
        <w:pStyle w:val="Heading1"/>
        <w:bidi w:val="1"/>
        <w:jc w:val="start"/>
      </w:pPr>
      <w:r>
        <w:rPr>
          <w:rFonts w:ascii="Noto Sans Arabic" w:hAnsi="Noto Sans Arabic" w:cs="Noto Sans Arabic"/>
          <w:sz w:val="30"/>
          <w:rtl w:val="1"/>
          <w:szCs w:val="30"/>
        </w:rPr>
        <w:t>ملحق خطة الأسابيع</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792"/>
        <w:gridCol w:w="3024"/>
        <w:gridCol w:w="6120"/>
      </w:tblGrid>
      <w:tr>
        <w:trPr>
          <w:tblHeader/>
        </w:trPr>
        <w:tc>
          <w:tcPr>
            <w:tcW w:type="dxa" w:w="792"/>
            <w:vAlign w:val="center"/>
            <w:shd w:fill="333333"/>
          </w:tcPr>
          <w:p>
            <w:pPr>
              <w:bidi w:val="1"/>
              <w:spacing w:after="40" w:line="269" w:lineRule="auto"/>
              <w:jc w:val="start"/>
            </w:pPr>
            <w:r>
              <w:rPr>
                <w:rFonts w:ascii="Noto Sans Arabic" w:hAnsi="Noto Sans Arabic" w:cs="Noto Sans Arabic"/>
                <w:b/>
                <w:color w:val="FFFFFF"/>
                <w:sz w:val="18"/>
                <w:rtl w:val="1"/>
                <w:szCs w:val="18"/>
              </w:rPr>
              <w:t>الأسبوع</w:t>
            </w:r>
          </w:p>
        </w:tc>
        <w:tc>
          <w:tcPr>
            <w:tcW w:type="dxa" w:w="3024"/>
            <w:vAlign w:val="center"/>
            <w:shd w:fill="333333"/>
          </w:tcPr>
          <w:p>
            <w:pPr>
              <w:bidi w:val="1"/>
              <w:spacing w:after="40" w:line="269" w:lineRule="auto"/>
              <w:jc w:val="start"/>
            </w:pPr>
            <w:r>
              <w:rPr>
                <w:rFonts w:ascii="Noto Sans Arabic" w:hAnsi="Noto Sans Arabic" w:cs="Noto Sans Arabic"/>
                <w:b/>
                <w:color w:val="FFFFFF"/>
                <w:sz w:val="18"/>
                <w:rtl w:val="1"/>
                <w:szCs w:val="18"/>
              </w:rPr>
              <w:t>الموضوع</w:t>
            </w:r>
          </w:p>
        </w:tc>
        <w:tc>
          <w:tcPr>
            <w:tcW w:type="dxa" w:w="6120"/>
            <w:vAlign w:val="center"/>
            <w:shd w:fill="333333"/>
          </w:tcPr>
          <w:p>
            <w:pPr>
              <w:bidi w:val="1"/>
              <w:spacing w:after="40" w:line="269" w:lineRule="auto"/>
              <w:jc w:val="start"/>
            </w:pPr>
            <w:r>
              <w:rPr>
                <w:rFonts w:ascii="Noto Sans Arabic" w:hAnsi="Noto Sans Arabic" w:cs="Noto Sans Arabic"/>
                <w:b/>
                <w:color w:val="FFFFFF"/>
                <w:sz w:val="18"/>
                <w:rtl w:val="1"/>
                <w:szCs w:val="18"/>
              </w:rPr>
              <w:t>المخرج المتوقع</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1</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الوزارة كمنظومة</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ارسم علاقة الاستراتيجية والعمليات والموارد والحوكمة.</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2</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من الاحتياج إلى القدرة</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تتبّع احتياجاً افتراضياً عبر التخطيط والاستحواذ والدعم.</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3</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الابتكار وخط الأساس</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حدد تحدي الأثر وسجل خط الأساس وخطة التطوير.</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4</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القيادة والخدمة</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حلل مسؤولية القائد وسلوك الفريق في موقف مؤسسي.</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5</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الفرق والثقة</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قد فريقاً متنوعاً واستقبل تغذية راجعة منظمة.</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6</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الحكم تحت عدم اليقين</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قدم خيارات واضحة مع معلومات ناقصة وافتراضات صريحة.</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7</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الجاهزية والقدرة الفنية</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اربط التأهيل الفني والسلامة والدعم بمتطلبات الجاهزية.</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8</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الموارد ودورة الحياة</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قارن بدائل ضمن قيد موارد باستخدام تكلفة دورة الحياة.</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9</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مراجعة منتصف المسار</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راجع الأدلة وخطة التطوير وناقش التحدي مع المرشد.</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10</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الشراكات والاستراتيجية الصناعية</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حدد مصالح الشركاء وشروط نجاح العلاقة المؤسسية.</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11</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الهندسة والتكامل</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حلل واجهات المنظومات والاعتماد المتبادل ومخاطر التكامل.</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12</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نقل المعرفة والحوكمة</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قدم حالة شراكة تميز التعلم ونقل المعرفة عن شراء المنتج.</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13</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التعاون الحكومي وبرنامج FMS</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تتبّع الأدوار والقرارات في حالة تعليمية للتعاون الحكومي.</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14</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الاستحواذ وإدارة البرامج</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راجع المتطلبات والجدول والتكلفة والمخاطر والحوكمة.</w:t>
            </w:r>
          </w:p>
        </w:tc>
      </w:tr>
      <w:tr>
        <w:trPr>
          <w:cantSplit/>
        </w:trPr>
        <w:tc>
          <w:tcPr>
            <w:tcW w:type="dxa" w:w="792"/>
            <w:vAlign w:val="center"/>
            <w:shd w:fill="FFFFFF"/>
          </w:tcPr>
          <w:p>
            <w:pPr>
              <w:bidi w:val="1"/>
              <w:spacing w:after="40" w:line="269" w:lineRule="auto"/>
              <w:jc w:val="start"/>
            </w:pPr>
            <w:r>
              <w:rPr>
                <w:rFonts w:ascii="Noto Sans Arabic" w:hAnsi="Noto Sans Arabic" w:cs="Noto Sans Arabic"/>
                <w:sz w:val="18"/>
                <w:rtl w:val="1"/>
                <w:szCs w:val="18"/>
              </w:rPr>
              <w:t>15</w:t>
            </w:r>
          </w:p>
        </w:tc>
        <w:tc>
          <w:tcPr>
            <w:tcW w:type="dxa" w:w="3024"/>
            <w:vAlign w:val="center"/>
            <w:shd w:fill="FFFFFF"/>
          </w:tcPr>
          <w:p>
            <w:pPr>
              <w:bidi w:val="1"/>
              <w:spacing w:after="40" w:line="269" w:lineRule="auto"/>
              <w:jc w:val="start"/>
            </w:pPr>
            <w:r>
              <w:rPr>
                <w:rFonts w:ascii="Noto Sans Arabic" w:hAnsi="Noto Sans Arabic" w:cs="Noto Sans Arabic"/>
                <w:sz w:val="18"/>
                <w:rtl w:val="1"/>
                <w:szCs w:val="18"/>
              </w:rPr>
              <w:t>الجيوسياسة والسياسات والتقنية</w:t>
            </w:r>
          </w:p>
        </w:tc>
        <w:tc>
          <w:tcPr>
            <w:tcW w:type="dxa" w:w="6120"/>
            <w:vAlign w:val="center"/>
            <w:shd w:fill="FFFFFF"/>
          </w:tcPr>
          <w:p>
            <w:pPr>
              <w:bidi w:val="1"/>
              <w:spacing w:after="40" w:line="269" w:lineRule="auto"/>
              <w:jc w:val="start"/>
            </w:pPr>
            <w:r>
              <w:rPr>
                <w:rFonts w:ascii="Noto Sans Arabic" w:hAnsi="Noto Sans Arabic" w:cs="Noto Sans Arabic"/>
                <w:sz w:val="18"/>
                <w:rtl w:val="1"/>
                <w:szCs w:val="18"/>
              </w:rPr>
              <w:t>اختبر أثر تغير خارجي في الخيارات المؤسسية والتقنية.</w:t>
            </w:r>
          </w:p>
        </w:tc>
      </w:tr>
      <w:tr>
        <w:trPr>
          <w:cantSplit/>
        </w:trPr>
        <w:tc>
          <w:tcPr>
            <w:tcW w:type="dxa" w:w="792"/>
            <w:vAlign w:val="center"/>
            <w:shd w:fill="F5F5F5"/>
          </w:tcPr>
          <w:p>
            <w:pPr>
              <w:bidi w:val="1"/>
              <w:spacing w:after="40" w:line="269" w:lineRule="auto"/>
              <w:jc w:val="start"/>
            </w:pPr>
            <w:r>
              <w:rPr>
                <w:rFonts w:ascii="Noto Sans Arabic" w:hAnsi="Noto Sans Arabic" w:cs="Noto Sans Arabic"/>
                <w:sz w:val="18"/>
                <w:rtl w:val="1"/>
                <w:szCs w:val="18"/>
              </w:rPr>
              <w:t>16</w:t>
            </w:r>
          </w:p>
        </w:tc>
        <w:tc>
          <w:tcPr>
            <w:tcW w:type="dxa" w:w="3024"/>
            <w:vAlign w:val="center"/>
            <w:shd w:fill="F5F5F5"/>
          </w:tcPr>
          <w:p>
            <w:pPr>
              <w:bidi w:val="1"/>
              <w:spacing w:after="40" w:line="269" w:lineRule="auto"/>
              <w:jc w:val="start"/>
            </w:pPr>
            <w:r>
              <w:rPr>
                <w:rFonts w:ascii="Noto Sans Arabic" w:hAnsi="Noto Sans Arabic" w:cs="Noto Sans Arabic"/>
                <w:sz w:val="18"/>
                <w:rtl w:val="1"/>
                <w:szCs w:val="18"/>
              </w:rPr>
              <w:t>مشروع الأثر والتقييم الختامي</w:t>
            </w:r>
          </w:p>
        </w:tc>
        <w:tc>
          <w:tcPr>
            <w:tcW w:type="dxa" w:w="6120"/>
            <w:vAlign w:val="center"/>
            <w:shd w:fill="F5F5F5"/>
          </w:tcPr>
          <w:p>
            <w:pPr>
              <w:bidi w:val="1"/>
              <w:spacing w:after="40" w:line="269" w:lineRule="auto"/>
              <w:jc w:val="start"/>
            </w:pPr>
            <w:r>
              <w:rPr>
                <w:rFonts w:ascii="Noto Sans Arabic" w:hAnsi="Noto Sans Arabic" w:cs="Noto Sans Arabic"/>
                <w:sz w:val="18"/>
                <w:rtl w:val="1"/>
                <w:szCs w:val="18"/>
              </w:rPr>
              <w:t>دافع عن مشروعك وخطة تطبيقه أمام لجنة، ووثق أهداف المتابعة.</w:t>
            </w:r>
          </w:p>
        </w:tc>
      </w:tr>
    </w:tbl>
    <w:p>
      <w:pPr>
        <w:spacing w:after="60"/>
      </w:pPr>
    </w:p>
    <w:p>
      <w:pPr>
        <w:pStyle w:val="Heading1"/>
        <w:bidi w:val="1"/>
        <w:jc w:val="start"/>
      </w:pPr>
      <w:r>
        <w:rPr>
          <w:rFonts w:ascii="Noto Sans Arabic" w:hAnsi="Noto Sans Arabic" w:cs="Noto Sans Arabic"/>
          <w:sz w:val="30"/>
          <w:rtl w:val="1"/>
          <w:szCs w:val="30"/>
        </w:rPr>
        <w:t>ملحق الجدارات والأدلة</w:t>
      </w:r>
    </w:p>
    <w:p>
      <w:pPr>
        <w:bidi w:val="1"/>
        <w:jc w:val="start"/>
      </w:pPr>
      <w:r>
        <w:rPr>
          <w:rFonts w:ascii="Noto Sans Arabic" w:hAnsi="Noto Sans Arabic" w:cs="Noto Sans Arabic"/>
          <w:sz w:val="21"/>
          <w:rtl w:val="1"/>
          <w:szCs w:val="21"/>
        </w:rPr>
        <w:t>الأوزان التالية مقترحة للمعايرة ومجموعها 100 بالمئة. يراجع المقيم الأدلة والسلوك قبل إصدار الحكم.</w:t>
      </w:r>
    </w:p>
    <w:p>
      <w:pPr>
        <w:pStyle w:val="Heading2"/>
        <w:bidi w:val="1"/>
        <w:jc w:val="start"/>
      </w:pPr>
      <w:r>
        <w:rPr>
          <w:rFonts w:ascii="Noto Sans Arabic" w:hAnsi="Noto Sans Arabic" w:cs="Noto Sans Arabic"/>
          <w:sz w:val="24"/>
          <w:rtl w:val="1"/>
          <w:szCs w:val="24"/>
        </w:rPr>
        <w:t>التقدير الاستراتيجي</w:t>
      </w:r>
    </w:p>
    <w:p>
      <w:pPr>
        <w:keepNext/>
        <w:bidi w:val="1"/>
        <w:jc w:val="start"/>
      </w:pPr>
      <w:r>
        <w:rPr>
          <w:rFonts w:ascii="Noto Sans Arabic" w:hAnsi="Noto Sans Arabic" w:cs="Noto Sans Arabic"/>
          <w:sz w:val="21"/>
          <w:rtl w:val="1"/>
          <w:szCs w:val="21"/>
        </w:rPr>
        <w:t>الوزن المقترح 20%</w:t>
      </w:r>
    </w:p>
    <w:p>
      <w:pPr>
        <w:bidi w:val="1"/>
        <w:jc w:val="start"/>
      </w:pPr>
      <w:r>
        <w:rPr>
          <w:rFonts w:ascii="Noto Sans Arabic" w:hAnsi="Noto Sans Arabic" w:cs="Noto Sans Arabic"/>
          <w:sz w:val="21"/>
          <w:rtl w:val="1"/>
          <w:szCs w:val="21"/>
        </w:rPr>
        <w:t>قراءة التحولات الجيوسياسية وربط الخيارات بالأولويات الوطنية والمؤسسية. موجز خيارات يوضح الافتراضات والمخاطر وآثار القرار.</w:t>
      </w:r>
    </w:p>
    <w:p>
      <w:pPr>
        <w:pStyle w:val="Heading2"/>
        <w:bidi w:val="1"/>
        <w:jc w:val="start"/>
      </w:pPr>
      <w:r>
        <w:rPr>
          <w:rFonts w:ascii="Noto Sans Arabic" w:hAnsi="Noto Sans Arabic" w:cs="Noto Sans Arabic"/>
          <w:sz w:val="24"/>
          <w:rtl w:val="1"/>
          <w:szCs w:val="24"/>
        </w:rPr>
        <w:t>الفهم المؤسسي والمنظومي</w:t>
      </w:r>
    </w:p>
    <w:p>
      <w:pPr>
        <w:keepNext/>
        <w:bidi w:val="1"/>
        <w:jc w:val="start"/>
      </w:pPr>
      <w:r>
        <w:rPr>
          <w:rFonts w:ascii="Noto Sans Arabic" w:hAnsi="Noto Sans Arabic" w:cs="Noto Sans Arabic"/>
          <w:sz w:val="21"/>
          <w:rtl w:val="1"/>
          <w:szCs w:val="21"/>
        </w:rPr>
        <w:t>الوزن المقترح 15%</w:t>
      </w:r>
    </w:p>
    <w:p>
      <w:pPr>
        <w:bidi w:val="1"/>
        <w:jc w:val="start"/>
      </w:pPr>
      <w:r>
        <w:rPr>
          <w:rFonts w:ascii="Noto Sans Arabic" w:hAnsi="Noto Sans Arabic" w:cs="Noto Sans Arabic"/>
          <w:sz w:val="21"/>
          <w:rtl w:val="1"/>
          <w:szCs w:val="21"/>
        </w:rPr>
        <w:t>فهم الترابط بين العمليات والأفراد والقدرات والموارد والحوكمة. خريطة منظومة تتبع انتقال الاحتياج إلى أثر في الجاهزية.</w:t>
      </w:r>
    </w:p>
    <w:p>
      <w:pPr>
        <w:pStyle w:val="Heading2"/>
        <w:bidi w:val="1"/>
        <w:jc w:val="start"/>
      </w:pPr>
      <w:r>
        <w:rPr>
          <w:rFonts w:ascii="Noto Sans Arabic" w:hAnsi="Noto Sans Arabic" w:cs="Noto Sans Arabic"/>
          <w:sz w:val="24"/>
          <w:rtl w:val="1"/>
          <w:szCs w:val="24"/>
        </w:rPr>
        <w:t>قيادة الأفراد ونقل الخبرة</w:t>
      </w:r>
    </w:p>
    <w:p>
      <w:pPr>
        <w:keepNext/>
        <w:bidi w:val="1"/>
        <w:jc w:val="start"/>
      </w:pPr>
      <w:r>
        <w:rPr>
          <w:rFonts w:ascii="Noto Sans Arabic" w:hAnsi="Noto Sans Arabic" w:cs="Noto Sans Arabic"/>
          <w:sz w:val="21"/>
          <w:rtl w:val="1"/>
          <w:szCs w:val="21"/>
        </w:rPr>
        <w:t>الوزن المقترح 15%</w:t>
      </w:r>
    </w:p>
    <w:p>
      <w:pPr>
        <w:bidi w:val="1"/>
        <w:jc w:val="start"/>
      </w:pPr>
      <w:r>
        <w:rPr>
          <w:rFonts w:ascii="Noto Sans Arabic" w:hAnsi="Noto Sans Arabic" w:cs="Noto Sans Arabic"/>
          <w:sz w:val="21"/>
          <w:rtl w:val="1"/>
          <w:szCs w:val="21"/>
        </w:rPr>
        <w:t>بناء الثقة وقيادة فرق متنوعة والتعلّم من خبرات الأجيال السابقة. ملاحظات سلوكية متعددة المصادر وخطة تطوير فردية.</w:t>
      </w:r>
    </w:p>
    <w:p>
      <w:pPr>
        <w:pStyle w:val="Heading2"/>
        <w:bidi w:val="1"/>
        <w:jc w:val="start"/>
      </w:pPr>
      <w:r>
        <w:rPr>
          <w:rFonts w:ascii="Noto Sans Arabic" w:hAnsi="Noto Sans Arabic" w:cs="Noto Sans Arabic"/>
          <w:sz w:val="24"/>
          <w:rtl w:val="1"/>
          <w:szCs w:val="24"/>
        </w:rPr>
        <w:t>القدرات والاستحواذ والموارد</w:t>
      </w:r>
    </w:p>
    <w:p>
      <w:pPr>
        <w:keepNext/>
        <w:bidi w:val="1"/>
        <w:jc w:val="start"/>
      </w:pPr>
      <w:r>
        <w:rPr>
          <w:rFonts w:ascii="Noto Sans Arabic" w:hAnsi="Noto Sans Arabic" w:cs="Noto Sans Arabic"/>
          <w:sz w:val="21"/>
          <w:rtl w:val="1"/>
          <w:szCs w:val="21"/>
        </w:rPr>
        <w:t>الوزن المقترح 15%</w:t>
      </w:r>
    </w:p>
    <w:p>
      <w:pPr>
        <w:bidi w:val="1"/>
        <w:jc w:val="start"/>
      </w:pPr>
      <w:r>
        <w:rPr>
          <w:rFonts w:ascii="Noto Sans Arabic" w:hAnsi="Noto Sans Arabic" w:cs="Noto Sans Arabic"/>
          <w:sz w:val="21"/>
          <w:rtl w:val="1"/>
          <w:szCs w:val="21"/>
        </w:rPr>
        <w:t>الموازنة بين الحاجة والتكلفة ودورة الحياة والتكامل والاستدامة. حالة قرار تقارن بدائل القدرة وتكلفتها الكلية.</w:t>
      </w:r>
    </w:p>
    <w:p>
      <w:pPr>
        <w:pStyle w:val="Heading2"/>
        <w:bidi w:val="1"/>
        <w:jc w:val="start"/>
      </w:pPr>
      <w:r>
        <w:rPr>
          <w:rFonts w:ascii="Noto Sans Arabic" w:hAnsi="Noto Sans Arabic" w:cs="Noto Sans Arabic"/>
          <w:sz w:val="24"/>
          <w:rtl w:val="1"/>
          <w:szCs w:val="24"/>
        </w:rPr>
        <w:t>التقنية والابتكار المسؤول</w:t>
      </w:r>
    </w:p>
    <w:p>
      <w:pPr>
        <w:keepNext/>
        <w:bidi w:val="1"/>
        <w:jc w:val="start"/>
      </w:pPr>
      <w:r>
        <w:rPr>
          <w:rFonts w:ascii="Noto Sans Arabic" w:hAnsi="Noto Sans Arabic" w:cs="Noto Sans Arabic"/>
          <w:sz w:val="21"/>
          <w:rtl w:val="1"/>
          <w:szCs w:val="21"/>
        </w:rPr>
        <w:t>الوزن المقترح 10%</w:t>
      </w:r>
    </w:p>
    <w:p>
      <w:pPr>
        <w:bidi w:val="1"/>
        <w:jc w:val="start"/>
      </w:pPr>
      <w:r>
        <w:rPr>
          <w:rFonts w:ascii="Noto Sans Arabic" w:hAnsi="Noto Sans Arabic" w:cs="Noto Sans Arabic"/>
          <w:sz w:val="21"/>
          <w:rtl w:val="1"/>
          <w:szCs w:val="21"/>
        </w:rPr>
        <w:t>تقييم قيمة التقنيات الناشئة وحدودها ومتطلبات البيانات والتكامل. ورقة تجربة تربط المشكلة والفرضية ومعايير النجاح.</w:t>
      </w:r>
    </w:p>
    <w:p>
      <w:pPr>
        <w:pStyle w:val="Heading2"/>
        <w:bidi w:val="1"/>
        <w:jc w:val="start"/>
      </w:pPr>
      <w:r>
        <w:rPr>
          <w:rFonts w:ascii="Noto Sans Arabic" w:hAnsi="Noto Sans Arabic" w:cs="Noto Sans Arabic"/>
          <w:sz w:val="24"/>
          <w:rtl w:val="1"/>
          <w:szCs w:val="24"/>
        </w:rPr>
        <w:t>الحوكمة والسياسات والأخلاقيات</w:t>
      </w:r>
    </w:p>
    <w:p>
      <w:pPr>
        <w:keepNext/>
        <w:bidi w:val="1"/>
        <w:jc w:val="start"/>
      </w:pPr>
      <w:r>
        <w:rPr>
          <w:rFonts w:ascii="Noto Sans Arabic" w:hAnsi="Noto Sans Arabic" w:cs="Noto Sans Arabic"/>
          <w:sz w:val="21"/>
          <w:rtl w:val="1"/>
          <w:szCs w:val="21"/>
        </w:rPr>
        <w:t>الوزن المقترح 10%</w:t>
      </w:r>
    </w:p>
    <w:p>
      <w:pPr>
        <w:bidi w:val="1"/>
        <w:jc w:val="start"/>
      </w:pPr>
      <w:r>
        <w:rPr>
          <w:rFonts w:ascii="Noto Sans Arabic" w:hAnsi="Noto Sans Arabic" w:cs="Noto Sans Arabic"/>
          <w:sz w:val="21"/>
          <w:rtl w:val="1"/>
          <w:szCs w:val="21"/>
        </w:rPr>
        <w:t>تمييز الصلاحيات والالتزامات والمخاطر وتوثيق القرارات بنزاهة. مذكرة تبين صاحب الصلاحية والضوابط وتعارض المصالح.</w:t>
      </w:r>
    </w:p>
    <w:p>
      <w:pPr>
        <w:pStyle w:val="Heading2"/>
        <w:bidi w:val="1"/>
        <w:jc w:val="start"/>
      </w:pPr>
      <w:r>
        <w:rPr>
          <w:rFonts w:ascii="Noto Sans Arabic" w:hAnsi="Noto Sans Arabic" w:cs="Noto Sans Arabic"/>
          <w:sz w:val="24"/>
          <w:rtl w:val="1"/>
          <w:szCs w:val="24"/>
        </w:rPr>
        <w:t>الشراكات والتواصل الدولي</w:t>
      </w:r>
    </w:p>
    <w:p>
      <w:pPr>
        <w:keepNext/>
        <w:bidi w:val="1"/>
        <w:jc w:val="start"/>
      </w:pPr>
      <w:r>
        <w:rPr>
          <w:rFonts w:ascii="Noto Sans Arabic" w:hAnsi="Noto Sans Arabic" w:cs="Noto Sans Arabic"/>
          <w:sz w:val="21"/>
          <w:rtl w:val="1"/>
          <w:szCs w:val="21"/>
        </w:rPr>
        <w:t>الوزن المقترح 10%</w:t>
      </w:r>
    </w:p>
    <w:p>
      <w:pPr>
        <w:bidi w:val="1"/>
        <w:jc w:val="start"/>
      </w:pPr>
      <w:r>
        <w:rPr>
          <w:rFonts w:ascii="Noto Sans Arabic" w:hAnsi="Noto Sans Arabic" w:cs="Noto Sans Arabic"/>
          <w:sz w:val="21"/>
          <w:rtl w:val="1"/>
          <w:szCs w:val="21"/>
        </w:rPr>
        <w:t>التواصل عبر الثقافات وفهم التعاون الحكومي والصناعي. موجز تفاوض وخريطة مصالح الشركاء.</w:t>
      </w:r>
    </w:p>
    <w:p>
      <w:pPr>
        <w:pStyle w:val="Heading2"/>
        <w:bidi w:val="1"/>
        <w:jc w:val="start"/>
      </w:pPr>
      <w:r>
        <w:rPr>
          <w:rFonts w:ascii="Noto Sans Arabic" w:hAnsi="Noto Sans Arabic" w:cs="Noto Sans Arabic"/>
          <w:sz w:val="24"/>
          <w:rtl w:val="1"/>
          <w:szCs w:val="24"/>
        </w:rPr>
        <w:t>التنفيذ وقياس الأثر</w:t>
      </w:r>
    </w:p>
    <w:p>
      <w:pPr>
        <w:keepNext/>
        <w:bidi w:val="1"/>
        <w:jc w:val="start"/>
      </w:pPr>
      <w:r>
        <w:rPr>
          <w:rFonts w:ascii="Noto Sans Arabic" w:hAnsi="Noto Sans Arabic" w:cs="Noto Sans Arabic"/>
          <w:sz w:val="21"/>
          <w:rtl w:val="1"/>
          <w:szCs w:val="21"/>
        </w:rPr>
        <w:t>الوزن المقترح 5%</w:t>
      </w:r>
    </w:p>
    <w:p>
      <w:pPr>
        <w:bidi w:val="1"/>
        <w:jc w:val="start"/>
      </w:pPr>
      <w:r>
        <w:rPr>
          <w:rFonts w:ascii="Noto Sans Arabic" w:hAnsi="Noto Sans Arabic" w:cs="Noto Sans Arabic"/>
          <w:sz w:val="21"/>
          <w:rtl w:val="1"/>
          <w:szCs w:val="21"/>
        </w:rPr>
        <w:t>تحويل التعلّم إلى تحسين قابل للتنفيذ والقياس داخل المؤسسة. مشروع أثر بمالك تنفيذي وخط أساس ومراجعات متابعة.</w:t>
      </w:r>
    </w:p>
    <w:p>
      <w:pPr>
        <w:pStyle w:val="Heading1"/>
        <w:bidi w:val="1"/>
        <w:jc w:val="start"/>
      </w:pPr>
      <w:r>
        <w:rPr>
          <w:rFonts w:ascii="Noto Sans Arabic" w:hAnsi="Noto Sans Arabic" w:cs="Noto Sans Arabic"/>
          <w:sz w:val="30"/>
          <w:rtl w:val="1"/>
          <w:szCs w:val="30"/>
        </w:rPr>
        <w:t>المراجع وحدود الاستدلال</w:t>
      </w:r>
    </w:p>
    <w:p>
      <w:pPr>
        <w:bidi w:val="1"/>
        <w:jc w:val="start"/>
      </w:pPr>
      <w:r>
        <w:rPr>
          <w:rFonts w:ascii="Noto Sans Arabic" w:hAnsi="Noto Sans Arabic" w:cs="Noto Sans Arabic"/>
          <w:sz w:val="21"/>
          <w:rtl w:val="1"/>
          <w:szCs w:val="21"/>
        </w:rPr>
        <w:t>تسند المراجع عناصر التصميم أو الاختصاص المعلن للجهات. ولا تثبت اعتماد المبادرة أو توافر الاستضافة. تاريخ مراجعة الروابط 25 سبتمبر 2026.</w:t>
      </w:r>
    </w:p>
    <w:p>
      <w:pPr>
        <w:keepNext/>
        <w:bidi w:val="1"/>
        <w:jc w:val="start"/>
      </w:pPr>
      <w:r>
        <w:rPr>
          <w:rFonts w:ascii="Noto Sans Arabic" w:hAnsi="Noto Sans Arabic" w:cs="Noto Sans Arabic"/>
          <w:sz w:val="21"/>
          <w:rtl w:val="1"/>
          <w:szCs w:val="21"/>
        </w:rPr>
        <w:t>[R1] توصية القيادة والقدرة في الخدمة العامة — OECD</w:t>
      </w:r>
    </w:p>
    <w:p>
      <w:pPr>
        <w:keepNext/>
        <w:bidi w:val="1"/>
        <w:jc w:val="start"/>
      </w:pPr>
      <w:r>
        <w:rPr>
          <w:rFonts w:ascii="Noto Sans Arabic" w:hAnsi="Noto Sans Arabic" w:cs="Noto Sans Arabic"/>
          <w:sz w:val="21"/>
          <w:rtl w:val="1"/>
          <w:szCs w:val="21"/>
        </w:rPr>
        <w:t>مرجع لتطوير القيادة والتعلم والثقافة المؤسسية؛ ليس اعتماداً لبرنامج سمت.</w:t>
      </w:r>
    </w:p>
    <w:p>
      <w:pPr>
        <w:bidi w:val="0"/>
        <w:jc w:val="start"/>
      </w:pPr>
      <w:hyperlink r:id="rId9">
        <w:r>
          <w:rPr>
            <w:color w:val="333333"/>
            <w:u w:val="single"/>
          </w:rPr>
          <w:t>https://legalinstruments.oecd.org/public/doc/641/641.en.pdf</w:t>
        </w:r>
      </w:hyperlink>
    </w:p>
    <w:p>
      <w:pPr>
        <w:keepNext/>
        <w:bidi w:val="1"/>
        <w:jc w:val="start"/>
      </w:pPr>
      <w:r>
        <w:rPr>
          <w:rFonts w:ascii="Noto Sans Arabic" w:hAnsi="Noto Sans Arabic" w:cs="Noto Sans Arabic"/>
          <w:sz w:val="21"/>
          <w:rtl w:val="1"/>
          <w:szCs w:val="21"/>
        </w:rPr>
        <w:t>[R2] تصميم التدريب القيادي وتنفيذه — تحليل تلوي — Lacerenza et al. · Journal of Applied Psychology · 2017</w:t>
      </w:r>
    </w:p>
    <w:p>
      <w:pPr>
        <w:keepNext/>
        <w:bidi w:val="1"/>
        <w:jc w:val="start"/>
      </w:pPr>
      <w:r>
        <w:rPr>
          <w:rFonts w:ascii="Noto Sans Arabic" w:hAnsi="Noto Sans Arabic" w:cs="Noto Sans Arabic"/>
          <w:sz w:val="21"/>
          <w:rtl w:val="1"/>
          <w:szCs w:val="21"/>
        </w:rPr>
        <w:t>يسند الجمع بين الممارسة والتغذية الراجعة وتقييم الاحتياجات. لا يثبت فعالية سمت قبل تجربته.</w:t>
      </w:r>
    </w:p>
    <w:p>
      <w:pPr>
        <w:bidi w:val="0"/>
        <w:jc w:val="start"/>
      </w:pPr>
      <w:hyperlink r:id="rId10">
        <w:r>
          <w:rPr>
            <w:color w:val="333333"/>
            <w:u w:val="single"/>
          </w:rPr>
          <w:t>https://pubmed.ncbi.nlm.nih.gov/28749153/</w:t>
        </w:r>
      </w:hyperlink>
    </w:p>
    <w:p>
      <w:pPr>
        <w:keepNext/>
        <w:bidi w:val="1"/>
        <w:jc w:val="start"/>
      </w:pPr>
      <w:r>
        <w:rPr>
          <w:rFonts w:ascii="Noto Sans Arabic" w:hAnsi="Noto Sans Arabic" w:cs="Noto Sans Arabic"/>
          <w:sz w:val="21"/>
          <w:rtl w:val="1"/>
          <w:szCs w:val="21"/>
        </w:rPr>
        <w:t>[R3] التدريب في ساندهيرست — British Army</w:t>
      </w:r>
    </w:p>
    <w:p>
      <w:pPr>
        <w:keepNext/>
        <w:bidi w:val="1"/>
        <w:jc w:val="start"/>
      </w:pPr>
      <w:r>
        <w:rPr>
          <w:rFonts w:ascii="Noto Sans Arabic" w:hAnsi="Noto Sans Arabic" w:cs="Noto Sans Arabic"/>
          <w:sz w:val="21"/>
          <w:rtl w:val="1"/>
          <w:szCs w:val="21"/>
        </w:rPr>
        <w:t>الاختصاص المؤسسي؛ المسار المخصص ومشاركة المدنيين يتطلبان اتفاقاً مستقلاً.</w:t>
      </w:r>
    </w:p>
    <w:p>
      <w:pPr>
        <w:bidi w:val="0"/>
        <w:jc w:val="start"/>
      </w:pPr>
      <w:hyperlink r:id="rId11">
        <w:r>
          <w:rPr>
            <w:color w:val="333333"/>
            <w:u w:val="single"/>
          </w:rPr>
          <w:t>https://www.army.mod.uk/support-and-training/our-schools-and-colleges/rma-sandhurst/officer-training/</w:t>
        </w:r>
      </w:hyperlink>
    </w:p>
    <w:p>
      <w:pPr>
        <w:keepNext/>
        <w:bidi w:val="1"/>
        <w:jc w:val="start"/>
      </w:pPr>
      <w:r>
        <w:rPr>
          <w:rFonts w:ascii="Noto Sans Arabic" w:hAnsi="Noto Sans Arabic" w:cs="Noto Sans Arabic"/>
          <w:sz w:val="21"/>
          <w:rtl w:val="1"/>
          <w:szCs w:val="21"/>
        </w:rPr>
        <w:t>[R4] قاعدة RAF Cosford — Royal Air Force</w:t>
      </w:r>
    </w:p>
    <w:p>
      <w:pPr>
        <w:keepNext/>
        <w:bidi w:val="1"/>
        <w:jc w:val="start"/>
      </w:pPr>
      <w:r>
        <w:rPr>
          <w:rFonts w:ascii="Noto Sans Arabic" w:hAnsi="Noto Sans Arabic" w:cs="Noto Sans Arabic"/>
          <w:sz w:val="21"/>
          <w:rtl w:val="1"/>
          <w:szCs w:val="21"/>
        </w:rPr>
        <w:t>دور القاعدة في التدريب الفني؛ لا يثبت توافر مقاعد لسمت.</w:t>
      </w:r>
    </w:p>
    <w:p>
      <w:pPr>
        <w:bidi w:val="0"/>
        <w:jc w:val="start"/>
      </w:pPr>
      <w:hyperlink r:id="rId12">
        <w:r>
          <w:rPr>
            <w:color w:val="333333"/>
            <w:u w:val="single"/>
          </w:rPr>
          <w:t>https://www.raf.mod.uk/our-organisation/stations/raf-cosford/</w:t>
        </w:r>
      </w:hyperlink>
    </w:p>
    <w:p>
      <w:pPr>
        <w:keepNext/>
        <w:bidi w:val="1"/>
        <w:jc w:val="start"/>
      </w:pPr>
      <w:r>
        <w:rPr>
          <w:rFonts w:ascii="Noto Sans Arabic" w:hAnsi="Noto Sans Arabic" w:cs="Noto Sans Arabic"/>
          <w:sz w:val="21"/>
          <w:rtl w:val="1"/>
          <w:szCs w:val="21"/>
        </w:rPr>
        <w:t>[R5] إطلاق EDGE Europe — EDGE · 11 June 2026</w:t>
      </w:r>
    </w:p>
    <w:p>
      <w:pPr>
        <w:keepNext/>
        <w:bidi w:val="1"/>
        <w:jc w:val="start"/>
      </w:pPr>
      <w:r>
        <w:rPr>
          <w:rFonts w:ascii="Noto Sans Arabic" w:hAnsi="Noto Sans Arabic" w:cs="Noto Sans Arabic"/>
          <w:sz w:val="21"/>
          <w:rtl w:val="1"/>
          <w:szCs w:val="21"/>
        </w:rPr>
        <w:t>أساس علني لمساري باريس وبوردو؛ الاستضافة لم يتم الاتفاق عليها.</w:t>
      </w:r>
    </w:p>
    <w:p>
      <w:pPr>
        <w:bidi w:val="0"/>
        <w:jc w:val="start"/>
      </w:pPr>
      <w:hyperlink r:id="rId13">
        <w:r>
          <w:rPr>
            <w:color w:val="333333"/>
            <w:u w:val="single"/>
          </w:rPr>
          <w:t>https://edgegroup.ae/news/launch-edge-europe-edge-heralds-new-model-european-defence</w:t>
        </w:r>
      </w:hyperlink>
    </w:p>
    <w:p>
      <w:pPr>
        <w:keepNext/>
        <w:bidi w:val="1"/>
        <w:jc w:val="start"/>
      </w:pPr>
      <w:r>
        <w:rPr>
          <w:rFonts w:ascii="Noto Sans Arabic" w:hAnsi="Noto Sans Arabic" w:cs="Noto Sans Arabic"/>
          <w:sz w:val="21"/>
          <w:rtl w:val="1"/>
          <w:szCs w:val="21"/>
        </w:rPr>
        <w:t>[R6] دليل إدارة المساعدة الأمنية — DSCA</w:t>
      </w:r>
    </w:p>
    <w:p>
      <w:pPr>
        <w:keepNext/>
        <w:bidi w:val="1"/>
        <w:jc w:val="start"/>
      </w:pPr>
      <w:r>
        <w:rPr>
          <w:rFonts w:ascii="Noto Sans Arabic" w:hAnsi="Noto Sans Arabic" w:cs="Noto Sans Arabic"/>
          <w:sz w:val="21"/>
          <w:rtl w:val="1"/>
          <w:szCs w:val="21"/>
        </w:rPr>
        <w:t>مرجع تعليمي لأدوار وإجراءات التعاون الأمني وبرنامج FMS.</w:t>
      </w:r>
    </w:p>
    <w:p>
      <w:pPr>
        <w:bidi w:val="0"/>
        <w:jc w:val="start"/>
      </w:pPr>
      <w:hyperlink r:id="rId14">
        <w:r>
          <w:rPr>
            <w:color w:val="333333"/>
            <w:u w:val="single"/>
          </w:rPr>
          <w:t>https://samm.dsca.mil/listing/chapters</w:t>
        </w:r>
      </w:hyperlink>
    </w:p>
    <w:p>
      <w:pPr>
        <w:keepNext/>
        <w:bidi w:val="1"/>
        <w:jc w:val="start"/>
      </w:pPr>
      <w:r>
        <w:rPr>
          <w:rFonts w:ascii="Noto Sans Arabic" w:hAnsi="Noto Sans Arabic" w:cs="Noto Sans Arabic"/>
          <w:sz w:val="21"/>
          <w:rtl w:val="1"/>
          <w:szCs w:val="21"/>
        </w:rPr>
        <w:t>[R7] عن معهد الابتكار التكنولوجي — TII</w:t>
      </w:r>
    </w:p>
    <w:p>
      <w:pPr>
        <w:keepNext/>
        <w:bidi w:val="1"/>
        <w:jc w:val="start"/>
      </w:pPr>
      <w:r>
        <w:rPr>
          <w:rFonts w:ascii="Noto Sans Arabic" w:hAnsi="Noto Sans Arabic" w:cs="Noto Sans Arabic"/>
          <w:sz w:val="21"/>
          <w:rtl w:val="1"/>
          <w:szCs w:val="21"/>
        </w:rPr>
        <w:t>السياق البحثي والتقني للمحطة الوطنية.</w:t>
      </w:r>
    </w:p>
    <w:p>
      <w:pPr>
        <w:bidi w:val="0"/>
        <w:jc w:val="start"/>
      </w:pPr>
      <w:hyperlink r:id="rId15">
        <w:r>
          <w:rPr>
            <w:color w:val="333333"/>
            <w:u w:val="single"/>
          </w:rPr>
          <w:t>https://www.tii.ae/about-us</w:t>
        </w:r>
      </w:hyperlink>
    </w:p>
    <w:p>
      <w:pPr>
        <w:keepNext/>
        <w:bidi w:val="1"/>
        <w:jc w:val="start"/>
      </w:pPr>
      <w:r>
        <w:rPr>
          <w:rFonts w:ascii="Noto Sans Arabic" w:hAnsi="Noto Sans Arabic" w:cs="Noto Sans Arabic"/>
          <w:sz w:val="21"/>
          <w:rtl w:val="1"/>
          <w:szCs w:val="21"/>
        </w:rPr>
        <w:t>[R8] خدمات الدعم والاستدامة — GAL</w:t>
      </w:r>
    </w:p>
    <w:p>
      <w:pPr>
        <w:keepNext/>
        <w:bidi w:val="1"/>
        <w:jc w:val="start"/>
      </w:pPr>
      <w:r>
        <w:rPr>
          <w:rFonts w:ascii="Noto Sans Arabic" w:hAnsi="Noto Sans Arabic" w:cs="Noto Sans Arabic"/>
          <w:sz w:val="21"/>
          <w:rtl w:val="1"/>
          <w:szCs w:val="21"/>
        </w:rPr>
        <w:t>سياق الدعم الفني والصيانة وإدامة القدرة.</w:t>
      </w:r>
    </w:p>
    <w:p>
      <w:pPr>
        <w:bidi w:val="0"/>
        <w:jc w:val="start"/>
      </w:pPr>
      <w:hyperlink r:id="rId16">
        <w:r>
          <w:rPr>
            <w:color w:val="333333"/>
            <w:u w:val="single"/>
          </w:rPr>
          <w:t>https://www.gal.ae/products-services</w:t>
        </w:r>
      </w:hyperlink>
    </w:p>
    <w:p>
      <w:pPr>
        <w:keepNext/>
        <w:bidi w:val="1"/>
        <w:jc w:val="start"/>
      </w:pPr>
      <w:r>
        <w:rPr>
          <w:rFonts w:ascii="Noto Sans Arabic" w:hAnsi="Noto Sans Arabic" w:cs="Noto Sans Arabic"/>
          <w:sz w:val="21"/>
          <w:rtl w:val="1"/>
          <w:szCs w:val="21"/>
        </w:rPr>
        <w:t>[R9] معنى السمت في المعجم الوسيط — مجمع اللغة العربية بالقاهرة · Academy of the Arabic Language in Cairo</w:t>
      </w:r>
    </w:p>
    <w:p>
      <w:pPr>
        <w:keepNext/>
        <w:bidi w:val="1"/>
        <w:jc w:val="start"/>
      </w:pPr>
      <w:r>
        <w:rPr>
          <w:rFonts w:ascii="Noto Sans Arabic" w:hAnsi="Noto Sans Arabic" w:cs="Noto Sans Arabic"/>
          <w:sz w:val="21"/>
          <w:rtl w:val="1"/>
          <w:szCs w:val="21"/>
        </w:rPr>
        <w:t>المعنى المعجمي للطريق والهيئة؛ تطبيقه على القيادة تفسير لهوية المبادرة.</w:t>
      </w:r>
    </w:p>
    <w:p>
      <w:pPr>
        <w:bidi w:val="0"/>
        <w:jc w:val="start"/>
      </w:pPr>
      <w:hyperlink r:id="rId17">
        <w:r>
          <w:rPr>
            <w:color w:val="333333"/>
            <w:u w:val="single"/>
          </w:rPr>
          <w:t>https://www.arabicacademy.gov.eg/ar/محرك-البحث/السمت</w:t>
        </w:r>
      </w:hyperlink>
    </w:p>
    <w:p>
      <w:pPr>
        <w:keepNext/>
        <w:bidi w:val="1"/>
        <w:jc w:val="start"/>
      </w:pPr>
      <w:r>
        <w:rPr>
          <w:rFonts w:ascii="Noto Sans Arabic" w:hAnsi="Noto Sans Arabic" w:cs="Noto Sans Arabic"/>
          <w:sz w:val="21"/>
          <w:rtl w:val="1"/>
          <w:szCs w:val="21"/>
        </w:rPr>
        <w:t>[R10] مركز الإدارة والقيادة الدفاعية — Cranfield University</w:t>
      </w:r>
    </w:p>
    <w:p>
      <w:pPr>
        <w:keepNext/>
        <w:bidi w:val="1"/>
        <w:jc w:val="start"/>
      </w:pPr>
      <w:r>
        <w:rPr>
          <w:rFonts w:ascii="Noto Sans Arabic" w:hAnsi="Noto Sans Arabic" w:cs="Noto Sans Arabic"/>
          <w:sz w:val="21"/>
          <w:rtl w:val="1"/>
          <w:szCs w:val="21"/>
        </w:rPr>
        <w:t>مرجع لاختصاص التعليم القيادي والإداري الدفاعي، دون افتراض القبول أو المدة.</w:t>
      </w:r>
    </w:p>
    <w:p>
      <w:pPr>
        <w:bidi w:val="0"/>
        <w:jc w:val="start"/>
      </w:pPr>
      <w:hyperlink r:id="rId18">
        <w:r>
          <w:rPr>
            <w:color w:val="333333"/>
            <w:u w:val="single"/>
          </w:rPr>
          <w:t>https://www.cranfield.ac.uk/centres/centre-for-defence-management-and-leadership</w:t>
        </w:r>
      </w:hyperlink>
    </w:p>
    <w:p>
      <w:pPr>
        <w:keepNext/>
        <w:bidi w:val="1"/>
        <w:jc w:val="start"/>
      </w:pPr>
      <w:r>
        <w:rPr>
          <w:rFonts w:ascii="Noto Sans Arabic" w:hAnsi="Noto Sans Arabic" w:cs="Noto Sans Arabic"/>
          <w:sz w:val="21"/>
          <w:rtl w:val="1"/>
          <w:szCs w:val="21"/>
        </w:rPr>
        <w:t>[R11] جامعة التعاون الأمني الدفاعي — DSCU</w:t>
      </w:r>
    </w:p>
    <w:p>
      <w:pPr>
        <w:keepNext/>
        <w:bidi w:val="1"/>
        <w:jc w:val="start"/>
      </w:pPr>
      <w:r>
        <w:rPr>
          <w:rFonts w:ascii="Noto Sans Arabic" w:hAnsi="Noto Sans Arabic" w:cs="Noto Sans Arabic"/>
          <w:sz w:val="21"/>
          <w:rtl w:val="1"/>
          <w:szCs w:val="21"/>
        </w:rPr>
        <w:t>اختصاص تعليم التعاون الأمني؛ يحتاج المسار المقترح إلى تنسيق رسمي.</w:t>
      </w:r>
    </w:p>
    <w:p>
      <w:pPr>
        <w:bidi w:val="0"/>
        <w:jc w:val="start"/>
      </w:pPr>
      <w:hyperlink r:id="rId19">
        <w:r>
          <w:rPr>
            <w:color w:val="333333"/>
            <w:u w:val="single"/>
          </w:rPr>
          <w:t>https://www.dscu.edu/</w:t>
        </w:r>
      </w:hyperlink>
    </w:p>
    <w:p>
      <w:pPr>
        <w:keepNext/>
        <w:bidi w:val="1"/>
        <w:jc w:val="start"/>
      </w:pPr>
      <w:r>
        <w:rPr>
          <w:rFonts w:ascii="Noto Sans Arabic" w:hAnsi="Noto Sans Arabic" w:cs="Noto Sans Arabic"/>
          <w:sz w:val="21"/>
          <w:rtl w:val="1"/>
          <w:szCs w:val="21"/>
        </w:rPr>
        <w:t>[R12] تعليم الاستراتيجية وإدارة الموارد الدفاعية — Naval Postgraduate School · 2021</w:t>
      </w:r>
    </w:p>
    <w:p>
      <w:pPr>
        <w:keepNext/>
        <w:bidi w:val="1"/>
        <w:jc w:val="start"/>
      </w:pPr>
      <w:r>
        <w:rPr>
          <w:rFonts w:ascii="Noto Sans Arabic" w:hAnsi="Noto Sans Arabic" w:cs="Noto Sans Arabic"/>
          <w:sz w:val="21"/>
          <w:rtl w:val="1"/>
          <w:szCs w:val="21"/>
        </w:rPr>
        <w:t>مثال تاريخي على التعليم للعسكريين والمدنيين؛ ليس دليلاً على إتاحة دورة حالية أو ملاءمة أهلية جميع المرشحين.</w:t>
      </w:r>
    </w:p>
    <w:p>
      <w:pPr>
        <w:bidi w:val="0"/>
        <w:jc w:val="start"/>
      </w:pPr>
      <w:hyperlink r:id="rId20">
        <w:r>
          <w:rPr>
            <w:color w:val="333333"/>
            <w:u w:val="single"/>
          </w:rPr>
          <w:t>https://nps.edu/-/annual-course-builds-strategy-resource-management-skills-for-us-int-l-leaders</w:t>
        </w:r>
      </w:hyperlink>
    </w:p>
    <w:p>
      <w:r>
        <w:br w:type="page"/>
      </w:r>
    </w:p>
    <w:p>
      <w:pPr>
        <w:pStyle w:val="Title"/>
        <w:bidi w:val="0"/>
        <w:jc w:val="start"/>
      </w:pPr>
      <w:r>
        <w:rPr>
          <w:rFonts w:ascii="Arial" w:hAnsi="Arial" w:cs="Arial"/>
          <w:sz w:val="44"/>
          <w:rtl w:val="0"/>
          <w:szCs w:val="44"/>
        </w:rPr>
        <w:t>SAMT proposal for Ministry of Defence leadership development</w:t>
      </w:r>
    </w:p>
    <w:p>
      <w:pPr>
        <w:bidi w:val="0"/>
        <w:jc w:val="start"/>
      </w:pPr>
      <w:r>
        <w:rPr>
          <w:rFonts w:ascii="Arial" w:hAnsi="Arial" w:cs="Arial"/>
          <w:sz w:val="21"/>
          <w:rtl w:val="0"/>
          <w:szCs w:val="21"/>
        </w:rPr>
        <w:t>Proposed by Ahmed Younis Yousif Alhammadi</w:t>
        <w:br/>
        <w:t>25 September 2026  |  Version 1.0</w:t>
        <w:br/>
        <w:t>English equivalent of the preceding Arabic proposal</w:t>
      </w:r>
    </w:p>
    <w:p>
      <w:pPr>
        <w:pStyle w:val="Heading1"/>
        <w:bidi w:val="0"/>
        <w:jc w:val="start"/>
      </w:pPr>
      <w:r>
        <w:rPr>
          <w:rFonts w:ascii="Arial" w:hAnsi="Arial" w:cs="Arial"/>
          <w:sz w:val="30"/>
          <w:rtl w:val="0"/>
          <w:szCs w:val="30"/>
        </w:rPr>
        <w:t>Decision requested</w:t>
      </w:r>
    </w:p>
    <w:p>
      <w:pPr>
        <w:bidi w:val="0"/>
        <w:jc w:val="start"/>
      </w:pPr>
      <w:r>
        <w:rPr>
          <w:rFonts w:ascii="Arial" w:hAnsi="Arial" w:cs="Arial"/>
          <w:sz w:val="21"/>
          <w:rtl w:val="0"/>
          <w:szCs w:val="21"/>
        </w:rPr>
        <w:t>I propose that the Ministry of Defence endorse SAMT in principle and appoint an institutional sponsor to develop the delivery design, complete feasibility work and coordinate with proposed hosts, before a separate decision to launch a pilot.</w:t>
      </w:r>
    </w:p>
    <w:p>
      <w:pPr>
        <w:bidi w:val="0"/>
        <w:jc w:val="start"/>
      </w:pPr>
      <w:r>
        <w:rPr>
          <w:rFonts w:ascii="Arial" w:hAnsi="Arial" w:cs="Arial"/>
          <w:sz w:val="21"/>
          <w:rtl w:val="0"/>
          <w:szCs w:val="21"/>
        </w:rPr>
        <w:t>The initiative is proposed by Ahmed Younis Yousif Alhammadi. It seeks MOD adoption and does not represent an approved programme or existing partnerships. In-principle endorsement would not itself create a financial commitment or open real nominations.</w:t>
      </w:r>
    </w:p>
    <w:p>
      <w:pPr>
        <w:bidi w:val="0"/>
        <w:jc w:val="start"/>
      </w:pPr>
      <w:r>
        <w:rPr>
          <w:rFonts w:ascii="Arial" w:hAnsi="Arial" w:cs="Arial"/>
          <w:sz w:val="21"/>
          <w:rtl w:val="0"/>
          <w:szCs w:val="21"/>
        </w:rPr>
        <w:t>The decision package includes proposed programme design, governance, selection, learning, assessment, impact follow-up, a cost model and a risk register, alongside a digital demonstration using fictional data.</w:t>
      </w:r>
    </w:p>
    <w:p>
      <w:pPr>
        <w:pStyle w:val="Heading1"/>
        <w:bidi w:val="0"/>
        <w:jc w:val="start"/>
      </w:pPr>
      <w:r>
        <w:rPr>
          <w:rFonts w:ascii="Arial" w:hAnsi="Arial" w:cs="Arial"/>
          <w:sz w:val="30"/>
          <w:rtl w:val="0"/>
          <w:szCs w:val="30"/>
        </w:rPr>
        <w:t>Institutional need and value</w:t>
      </w:r>
    </w:p>
    <w:p>
      <w:pPr>
        <w:bidi w:val="0"/>
        <w:jc w:val="start"/>
      </w:pPr>
      <w:r>
        <w:rPr>
          <w:rFonts w:ascii="Arial" w:hAnsi="Arial" w:cs="Arial"/>
          <w:sz w:val="21"/>
          <w:rtl w:val="0"/>
          <w:szCs w:val="21"/>
        </w:rPr>
        <w:t>The initiative addresses a gap identified by its proposer between the accumulated experience of established leaders and the promise of the next generation, alongside technological, industrial, geopolitical and policy change. Its scale should be validated through interviews and workforce-development evidence during feasibility work.</w:t>
      </w:r>
    </w:p>
    <w:p>
      <w:pPr>
        <w:bidi w:val="0"/>
        <w:jc w:val="start"/>
      </w:pPr>
      <w:r>
        <w:rPr>
          <w:rFonts w:ascii="Arial" w:hAnsi="Arial" w:cs="Arial"/>
          <w:sz w:val="21"/>
          <w:rtl w:val="0"/>
          <w:szCs w:val="21"/>
        </w:rPr>
        <w:t>The intended value is to prepare exceptional military and civilian personnel to understand the institutional ecosystem, make better decisions and work across functions. This includes strategy, operations, people, capabilities, acquisition, finance, industry, support and governance.</w:t>
      </w:r>
    </w:p>
    <w:p>
      <w:pPr>
        <w:bidi w:val="0"/>
        <w:jc w:val="start"/>
      </w:pPr>
      <w:r>
        <w:rPr>
          <w:rFonts w:ascii="Arial" w:hAnsi="Arial" w:cs="Arial"/>
          <w:sz w:val="21"/>
          <w:rtl w:val="0"/>
          <w:szCs w:val="21"/>
        </w:rPr>
        <w:t>OECD guidance and leadership-training research inform the use of practice, feedback and transfer to work. These are design rationales, not evidence that SAMT has delivered impact; that requires a pilot and follow-up measurement. [R1, R2]</w:t>
      </w:r>
    </w:p>
    <w:p>
      <w:pPr>
        <w:pStyle w:val="Heading1"/>
        <w:bidi w:val="0"/>
        <w:jc w:val="start"/>
      </w:pPr>
      <w:r>
        <w:rPr>
          <w:rFonts w:ascii="Arial" w:hAnsi="Arial" w:cs="Arial"/>
          <w:sz w:val="30"/>
          <w:rtl w:val="0"/>
          <w:szCs w:val="30"/>
        </w:rPr>
        <w:t>Programme charter and boundaries</w:t>
      </w:r>
    </w:p>
    <w:p>
      <w:pPr>
        <w:bidi w:val="0"/>
        <w:jc w:val="start"/>
      </w:pPr>
      <w:r>
        <w:rPr>
          <w:rFonts w:ascii="Arial" w:hAnsi="Arial" w:cs="Arial"/>
          <w:sz w:val="21"/>
          <w:rtl w:val="0"/>
          <w:szCs w:val="21"/>
        </w:rPr>
        <w:t>Participants are exclusively MOD military and civilian personnel at early and middle career stages, selected for exceptional ability and leadership potential. Each cycle is capped at 20; the final size depends on host capacity, supervision and funding.</w:t>
      </w:r>
    </w:p>
    <w:p>
      <w:pPr>
        <w:bidi w:val="0"/>
        <w:jc w:val="start"/>
      </w:pPr>
      <w:r>
        <w:rPr>
          <w:rFonts w:ascii="Arial" w:hAnsi="Arial" w:cs="Arial"/>
          <w:sz w:val="21"/>
          <w:rtl w:val="0"/>
          <w:szCs w:val="21"/>
        </w:rPr>
        <w:t>The fixed duration is 16 consecutive full-time weeks across the UAE, UK, France and US. The reference allocation is 3, 6, 3 and 4 weeks respectively. Transitions and reviews sit within this period; contact hours and travel days require an approved delivery schedule.</w:t>
      </w:r>
    </w:p>
    <w:p>
      <w:pPr>
        <w:bidi w:val="0"/>
        <w:jc w:val="start"/>
      </w:pPr>
      <w:r>
        <w:rPr>
          <w:rFonts w:ascii="Arial" w:hAnsi="Arial" w:cs="Arial"/>
          <w:sz w:val="21"/>
          <w:rtl w:val="0"/>
          <w:szCs w:val="21"/>
        </w:rPr>
        <w:t>Hosts and tracks listed in the stations appendix remain design anchors, with additions allowed where they serve learning outcomes. Every hosting arrangement, seat allocation and site access requires formal agreement. Twelve months of follow-up remains the proposed baseline.</w:t>
      </w:r>
    </w:p>
    <w:p>
      <w:pPr>
        <w:bidi w:val="0"/>
        <w:jc w:val="start"/>
      </w:pPr>
      <w:r>
        <w:rPr>
          <w:rFonts w:ascii="Arial" w:hAnsi="Arial" w:cs="Arial"/>
          <w:sz w:val="21"/>
          <w:rtl w:val="0"/>
          <w:szCs w:val="21"/>
        </w:rPr>
        <w:t>Participation does not confer rank, promotion or automatic eligibility for command. No accredited academic or professional award is claimed without an explicit agreement with an authorised awarding body.</w:t>
      </w:r>
    </w:p>
    <w:p>
      <w:pPr>
        <w:pStyle w:val="Heading1"/>
        <w:bidi w:val="0"/>
        <w:jc w:val="start"/>
      </w:pPr>
      <w:r>
        <w:rPr>
          <w:rFonts w:ascii="Arial" w:hAnsi="Arial" w:cs="Arial"/>
          <w:sz w:val="30"/>
          <w:rtl w:val="0"/>
          <w:szCs w:val="30"/>
        </w:rPr>
        <w:t>Nomination and selection</w:t>
      </w:r>
    </w:p>
    <w:p>
      <w:pPr>
        <w:bidi w:val="0"/>
        <w:jc w:val="start"/>
      </w:pPr>
      <w:r>
        <w:rPr>
          <w:rFonts w:ascii="Arial" w:hAnsi="Arial" w:cs="Arial"/>
          <w:sz w:val="21"/>
          <w:rtl w:val="0"/>
          <w:szCs w:val="21"/>
        </w:rPr>
        <w:t>The process begins with institutional nomination supported by performance evidence, full-time availability and a motivation statement. Eligibility is checked first, followed by a case exercise, group exercise and structured interview, then a multidisciplinary panel review.</w:t>
      </w:r>
    </w:p>
    <w:p>
      <w:pPr>
        <w:bidi w:val="0"/>
        <w:jc w:val="start"/>
      </w:pPr>
      <w:r>
        <w:rPr>
          <w:rFonts w:ascii="Arial" w:hAnsi="Arial" w:cs="Arial"/>
          <w:sz w:val="21"/>
          <w:rtl w:val="0"/>
          <w:szCs w:val="21"/>
        </w:rPr>
        <w:t>The proposed selection weighting is 30% analysis and judgement, 25% learning and systems understanding, 20% team leadership, 15% motivation and self-awareness, and 10% communication. Professional conduct and integrity are a separate condition. Criteria should be calibrated in the pilot before any pass threshold is adopted.</w:t>
      </w:r>
    </w:p>
    <w:p>
      <w:pPr>
        <w:bidi w:val="0"/>
        <w:jc w:val="start"/>
      </w:pPr>
      <w:r>
        <w:rPr>
          <w:rFonts w:ascii="Arial" w:hAnsi="Arial" w:cs="Arial"/>
          <w:sz w:val="21"/>
          <w:rtl w:val="0"/>
          <w:szCs w:val="21"/>
        </w:rPr>
        <w:t>At least two assessors document evidence; the panel reviews divergent cases and declares conflicts of interest. Decisions are reasoned and reviewable, with numerical scoring supporting human judgement. No unapproved age, rank or service-length limits are assumed.</w:t>
      </w:r>
    </w:p>
    <w:p>
      <w:pPr>
        <w:pStyle w:val="Heading1"/>
        <w:bidi w:val="0"/>
        <w:jc w:val="start"/>
      </w:pPr>
      <w:r>
        <w:rPr>
          <w:rFonts w:ascii="Arial" w:hAnsi="Arial" w:cs="Arial"/>
          <w:sz w:val="30"/>
          <w:rtl w:val="0"/>
          <w:szCs w:val="30"/>
        </w:rPr>
        <w:t>Applied learning and knowledge transfer</w:t>
      </w:r>
    </w:p>
    <w:p>
      <w:pPr>
        <w:bidi w:val="0"/>
        <w:jc w:val="start"/>
      </w:pPr>
      <w:r>
        <w:rPr>
          <w:rFonts w:ascii="Arial" w:hAnsi="Arial" w:cs="Arial"/>
          <w:sz w:val="21"/>
          <w:rtl w:val="0"/>
          <w:szCs w:val="21"/>
        </w:rPr>
        <w:t>All fellows follow a shared core in MOD ecosystem understanding, with assignments adapted to experience and function. Each week connects an institutional question, a host engagement or applied case, a written output and feedback. Fellows record what they learned, how it may be used and what still needs validation.</w:t>
      </w:r>
    </w:p>
    <w:p>
      <w:pPr>
        <w:bidi w:val="0"/>
        <w:jc w:val="start"/>
      </w:pPr>
      <w:r>
        <w:rPr>
          <w:rFonts w:ascii="Arial" w:hAnsi="Arial" w:cs="Arial"/>
          <w:sz w:val="21"/>
          <w:rtl w:val="0"/>
          <w:szCs w:val="21"/>
        </w:rPr>
        <w:t>Each fellow is paired with an experienced mentor. Project teams mix military and civilian perspectives and experience levels. Structured experience discussions, after-action reviews and intergenerational dialogue preserve tacit knowledge and test its relevance in a new context.</w:t>
      </w:r>
    </w:p>
    <w:p>
      <w:pPr>
        <w:bidi w:val="0"/>
        <w:jc w:val="start"/>
      </w:pPr>
      <w:r>
        <w:rPr>
          <w:rFonts w:ascii="Arial" w:hAnsi="Arial" w:cs="Arial"/>
          <w:sz w:val="21"/>
          <w:rtl w:val="0"/>
          <w:szCs w:val="21"/>
        </w:rPr>
        <w:t>The impact project starts in the UAE and develops across all four stations. Educational examples include improving decision flow, knowledge exchange or a support process. An institutional owner approves the challenge, baseline and permitted data scope.</w:t>
      </w:r>
    </w:p>
    <w:p>
      <w:pPr>
        <w:pStyle w:val="Heading1"/>
        <w:bidi w:val="0"/>
        <w:jc w:val="start"/>
      </w:pPr>
      <w:r>
        <w:rPr>
          <w:rFonts w:ascii="Arial" w:hAnsi="Arial" w:cs="Arial"/>
          <w:sz w:val="30"/>
          <w:rtl w:val="0"/>
          <w:szCs w:val="30"/>
        </w:rPr>
        <w:t>Assessment and completion</w:t>
      </w:r>
    </w:p>
    <w:p>
      <w:pPr>
        <w:bidi w:val="0"/>
        <w:jc w:val="start"/>
      </w:pPr>
      <w:r>
        <w:rPr>
          <w:rFonts w:ascii="Arial" w:hAnsi="Arial" w:cs="Arial"/>
          <w:sz w:val="21"/>
          <w:rtl w:val="0"/>
          <w:szCs w:val="21"/>
        </w:rPr>
        <w:t>Progress is assessed across eight competency domains. Each has behavioural evidence and outputs, using a 1–5 scale from basic understanding to independent application and reasoned explanation of alternatives. Proposed weights total 100% and are not an approved standard.</w:t>
      </w:r>
    </w:p>
    <w:p>
      <w:pPr>
        <w:bidi w:val="0"/>
        <w:jc w:val="start"/>
      </w:pPr>
      <w:r>
        <w:rPr>
          <w:rFonts w:ascii="Arial" w:hAnsi="Arial" w:cs="Arial"/>
          <w:sz w:val="21"/>
          <w:rtl w:val="0"/>
          <w:szCs w:val="21"/>
        </w:rPr>
        <w:t>Assessment combines baseline, weekly evidence, host and mentor observations, midpoint review, a decision exercise and final briefing. A change on an ordinal rating scale describes progress; it does not alone prove transfer to work.</w:t>
      </w:r>
    </w:p>
    <w:p>
      <w:pPr>
        <w:bidi w:val="0"/>
        <w:jc w:val="start"/>
      </w:pPr>
      <w:r>
        <w:rPr>
          <w:rFonts w:ascii="Arial" w:hAnsi="Arial" w:cs="Arial"/>
          <w:sz w:val="21"/>
          <w:rtl w:val="0"/>
          <w:szCs w:val="21"/>
        </w:rPr>
        <w:t>The panel recommends completion when essential evidence, the impact project, implementation plan and professional-conduct requirements are met. Gaps and remediation are documented when needed; an aggregate score cannot by itself override a material deficiency.</w:t>
      </w:r>
    </w:p>
    <w:p>
      <w:pPr>
        <w:pStyle w:val="Heading1"/>
        <w:bidi w:val="0"/>
        <w:jc w:val="start"/>
      </w:pPr>
      <w:r>
        <w:rPr>
          <w:rFonts w:ascii="Arial" w:hAnsi="Arial" w:cs="Arial"/>
          <w:sz w:val="30"/>
          <w:rtl w:val="0"/>
          <w:szCs w:val="30"/>
        </w:rPr>
        <w:t>Governance and responsibilities</w:t>
      </w:r>
    </w:p>
    <w:p>
      <w:pPr>
        <w:bidi w:val="0"/>
        <w:jc w:val="start"/>
      </w:pPr>
      <w:r>
        <w:rPr>
          <w:rFonts w:ascii="Arial" w:hAnsi="Arial" w:cs="Arial"/>
          <w:sz w:val="21"/>
          <w:rtl w:val="0"/>
          <w:szCs w:val="21"/>
        </w:rPr>
        <w:t>An authorised institutional sponsor would own direction and gate decisions, supported by a steering committee covering development, HR, operations, finance, legal affairs and international cooperation. A programme office would manage delivery, records and scheduling; a sufficiently independent assessment panel would own selection and completion decisions.</w:t>
      </w:r>
    </w:p>
    <w:p>
      <w:pPr>
        <w:bidi w:val="0"/>
        <w:jc w:val="start"/>
      </w:pPr>
      <w:r>
        <w:rPr>
          <w:rFonts w:ascii="Arial" w:hAnsi="Arial" w:cs="Arial"/>
          <w:sz w:val="21"/>
          <w:rtl w:val="0"/>
          <w:szCs w:val="21"/>
        </w:rPr>
        <w:t>Each impact project has a benefits owner in the home organisation. Finance verifies cost; the authorised authority approves commitments; hosts approve their content and assessment. Information protection and digital-hosting responsibilities must be set under MOD requirements before real operation.</w:t>
      </w:r>
    </w:p>
    <w:p>
      <w:pPr>
        <w:pStyle w:val="Heading1"/>
        <w:bidi w:val="0"/>
        <w:jc w:val="start"/>
      </w:pPr>
      <w:r>
        <w:rPr>
          <w:rFonts w:ascii="Arial" w:hAnsi="Arial" w:cs="Arial"/>
          <w:sz w:val="30"/>
          <w:rtl w:val="0"/>
          <w:szCs w:val="30"/>
        </w:rPr>
        <w:t>Approval and delivery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00"/>
        <w:gridCol w:w="2376"/>
        <w:gridCol w:w="5760"/>
      </w:tblGrid>
      <w:tr>
        <w:trPr>
          <w:tblHeader/>
        </w:trPr>
        <w:tc>
          <w:tcPr>
            <w:tcW w:type="dxa" w:w="1800"/>
            <w:vAlign w:val="center"/>
            <w:shd w:fill="333333"/>
          </w:tcPr>
          <w:p>
            <w:pPr>
              <w:bidi w:val="0"/>
              <w:spacing w:after="40" w:line="269" w:lineRule="auto"/>
              <w:jc w:val="start"/>
            </w:pPr>
            <w:r>
              <w:rPr>
                <w:rFonts w:ascii="Arial" w:hAnsi="Arial" w:cs="Arial"/>
                <w:b/>
                <w:color w:val="FFFFFF"/>
                <w:sz w:val="18"/>
                <w:rtl w:val="0"/>
                <w:szCs w:val="18"/>
              </w:rPr>
              <w:t>Gate</w:t>
            </w:r>
          </w:p>
        </w:tc>
        <w:tc>
          <w:tcPr>
            <w:tcW w:type="dxa" w:w="2376"/>
            <w:vAlign w:val="center"/>
            <w:shd w:fill="333333"/>
          </w:tcPr>
          <w:p>
            <w:pPr>
              <w:bidi w:val="0"/>
              <w:spacing w:after="40" w:line="269" w:lineRule="auto"/>
              <w:jc w:val="start"/>
            </w:pPr>
            <w:r>
              <w:rPr>
                <w:rFonts w:ascii="Arial" w:hAnsi="Arial" w:cs="Arial"/>
                <w:b/>
                <w:color w:val="FFFFFF"/>
                <w:sz w:val="18"/>
                <w:rtl w:val="0"/>
                <w:szCs w:val="18"/>
              </w:rPr>
              <w:t>Proposed owner</w:t>
            </w:r>
          </w:p>
        </w:tc>
        <w:tc>
          <w:tcPr>
            <w:tcW w:type="dxa" w:w="5760"/>
            <w:vAlign w:val="center"/>
            <w:shd w:fill="333333"/>
          </w:tcPr>
          <w:p>
            <w:pPr>
              <w:bidi w:val="0"/>
              <w:spacing w:after="40" w:line="269" w:lineRule="auto"/>
              <w:jc w:val="start"/>
            </w:pPr>
            <w:r>
              <w:rPr>
                <w:rFonts w:ascii="Arial" w:hAnsi="Arial" w:cs="Arial"/>
                <w:b/>
                <w:color w:val="FFFFFF"/>
                <w:sz w:val="18"/>
                <w:rtl w:val="0"/>
                <w:szCs w:val="18"/>
              </w:rPr>
              <w:t>Required evidence</w:t>
            </w:r>
          </w:p>
        </w:tc>
      </w:tr>
      <w:tr>
        <w:trPr>
          <w:cantSplit/>
        </w:trPr>
        <w:tc>
          <w:tcPr>
            <w:tcW w:type="dxa" w:w="1800"/>
            <w:vAlign w:val="center"/>
            <w:shd w:fill="FFFFFF"/>
          </w:tcPr>
          <w:p>
            <w:pPr>
              <w:bidi w:val="0"/>
              <w:spacing w:after="40" w:line="269" w:lineRule="auto"/>
              <w:jc w:val="start"/>
            </w:pPr>
            <w:r>
              <w:rPr>
                <w:rFonts w:ascii="Arial" w:hAnsi="Arial" w:cs="Arial"/>
                <w:sz w:val="18"/>
                <w:rtl w:val="0"/>
                <w:szCs w:val="18"/>
              </w:rPr>
              <w:t>In-principle endorsement</w:t>
            </w:r>
          </w:p>
        </w:tc>
        <w:tc>
          <w:tcPr>
            <w:tcW w:type="dxa" w:w="2376"/>
            <w:vAlign w:val="center"/>
            <w:shd w:fill="FFFFFF"/>
          </w:tcPr>
          <w:p>
            <w:pPr>
              <w:bidi w:val="0"/>
              <w:spacing w:after="40" w:line="269" w:lineRule="auto"/>
              <w:jc w:val="start"/>
            </w:pPr>
            <w:r>
              <w:rPr>
                <w:rFonts w:ascii="Arial" w:hAnsi="Arial" w:cs="Arial"/>
                <w:sz w:val="18"/>
                <w:rtl w:val="0"/>
                <w:szCs w:val="18"/>
              </w:rPr>
              <w:t>Authorised sponsor</w:t>
            </w:r>
          </w:p>
        </w:tc>
        <w:tc>
          <w:tcPr>
            <w:tcW w:type="dxa" w:w="5760"/>
            <w:vAlign w:val="center"/>
            <w:shd w:fill="FFFFFF"/>
          </w:tcPr>
          <w:p>
            <w:pPr>
              <w:bidi w:val="0"/>
              <w:spacing w:after="40" w:line="269" w:lineRule="auto"/>
              <w:jc w:val="start"/>
            </w:pPr>
            <w:r>
              <w:rPr>
                <w:rFonts w:ascii="Arial" w:hAnsi="Arial" w:cs="Arial"/>
                <w:sz w:val="18"/>
                <w:rtl w:val="0"/>
                <w:szCs w:val="18"/>
              </w:rPr>
              <w:t>Clear purpose, fixed scope and a commissioned design team.</w:t>
            </w:r>
          </w:p>
        </w:tc>
      </w:tr>
      <w:tr>
        <w:trPr>
          <w:cantSplit/>
        </w:trPr>
        <w:tc>
          <w:tcPr>
            <w:tcW w:type="dxa" w:w="1800"/>
            <w:vAlign w:val="center"/>
            <w:shd w:fill="F5F5F5"/>
          </w:tcPr>
          <w:p>
            <w:pPr>
              <w:bidi w:val="0"/>
              <w:spacing w:after="40" w:line="269" w:lineRule="auto"/>
              <w:jc w:val="start"/>
            </w:pPr>
            <w:r>
              <w:rPr>
                <w:rFonts w:ascii="Arial" w:hAnsi="Arial" w:cs="Arial"/>
                <w:sz w:val="18"/>
                <w:rtl w:val="0"/>
                <w:szCs w:val="18"/>
              </w:rPr>
              <w:t>Feasibility and design</w:t>
            </w:r>
          </w:p>
        </w:tc>
        <w:tc>
          <w:tcPr>
            <w:tcW w:type="dxa" w:w="2376"/>
            <w:vAlign w:val="center"/>
            <w:shd w:fill="F5F5F5"/>
          </w:tcPr>
          <w:p>
            <w:pPr>
              <w:bidi w:val="0"/>
              <w:spacing w:after="40" w:line="269" w:lineRule="auto"/>
              <w:jc w:val="start"/>
            </w:pPr>
            <w:r>
              <w:rPr>
                <w:rFonts w:ascii="Arial" w:hAnsi="Arial" w:cs="Arial"/>
                <w:sz w:val="18"/>
                <w:rtl w:val="0"/>
                <w:szCs w:val="18"/>
              </w:rPr>
              <w:t>Steering committee and programme office</w:t>
            </w:r>
          </w:p>
        </w:tc>
        <w:tc>
          <w:tcPr>
            <w:tcW w:type="dxa" w:w="5760"/>
            <w:vAlign w:val="center"/>
            <w:shd w:fill="F5F5F5"/>
          </w:tcPr>
          <w:p>
            <w:pPr>
              <w:bidi w:val="0"/>
              <w:spacing w:after="40" w:line="269" w:lineRule="auto"/>
              <w:jc w:val="start"/>
            </w:pPr>
            <w:r>
              <w:rPr>
                <w:rFonts w:ascii="Arial" w:hAnsi="Arial" w:cs="Arial"/>
                <w:sz w:val="18"/>
                <w:rtl w:val="0"/>
                <w:szCs w:val="18"/>
              </w:rPr>
              <w:t>Validated need, learning outcomes, 16-week timetable and host feasibility for military and civilian personnel.</w:t>
            </w:r>
          </w:p>
        </w:tc>
      </w:tr>
      <w:tr>
        <w:trPr>
          <w:cantSplit/>
        </w:trPr>
        <w:tc>
          <w:tcPr>
            <w:tcW w:type="dxa" w:w="1800"/>
            <w:vAlign w:val="center"/>
            <w:shd w:fill="FFFFFF"/>
          </w:tcPr>
          <w:p>
            <w:pPr>
              <w:bidi w:val="0"/>
              <w:spacing w:after="40" w:line="269" w:lineRule="auto"/>
              <w:jc w:val="start"/>
            </w:pPr>
            <w:r>
              <w:rPr>
                <w:rFonts w:ascii="Arial" w:hAnsi="Arial" w:cs="Arial"/>
                <w:sz w:val="18"/>
                <w:rtl w:val="0"/>
                <w:szCs w:val="18"/>
              </w:rPr>
              <w:t>Launch readiness</w:t>
            </w:r>
          </w:p>
        </w:tc>
        <w:tc>
          <w:tcPr>
            <w:tcW w:type="dxa" w:w="2376"/>
            <w:vAlign w:val="center"/>
            <w:shd w:fill="FFFFFF"/>
          </w:tcPr>
          <w:p>
            <w:pPr>
              <w:bidi w:val="0"/>
              <w:spacing w:after="40" w:line="269" w:lineRule="auto"/>
              <w:jc w:val="start"/>
            </w:pPr>
            <w:r>
              <w:rPr>
                <w:rFonts w:ascii="Arial" w:hAnsi="Arial" w:cs="Arial"/>
                <w:sz w:val="18"/>
                <w:rtl w:val="0"/>
                <w:szCs w:val="18"/>
              </w:rPr>
              <w:t>Sponsor, finance and relevant authorities</w:t>
            </w:r>
          </w:p>
        </w:tc>
        <w:tc>
          <w:tcPr>
            <w:tcW w:type="dxa" w:w="5760"/>
            <w:vAlign w:val="center"/>
            <w:shd w:fill="FFFFFF"/>
          </w:tcPr>
          <w:p>
            <w:pPr>
              <w:bidi w:val="0"/>
              <w:spacing w:after="40" w:line="269" w:lineRule="auto"/>
              <w:jc w:val="start"/>
            </w:pPr>
            <w:r>
              <w:rPr>
                <w:rFonts w:ascii="Arial" w:hAnsi="Arial" w:cs="Arial"/>
                <w:sz w:val="18"/>
                <w:rtl w:val="0"/>
                <w:szCs w:val="18"/>
              </w:rPr>
              <w:t>Host agreements, evidenced and funded cost, selection criteria, and travel, information and assessment plans.</w:t>
            </w:r>
          </w:p>
        </w:tc>
      </w:tr>
      <w:tr>
        <w:trPr>
          <w:cantSplit/>
        </w:trPr>
        <w:tc>
          <w:tcPr>
            <w:tcW w:type="dxa" w:w="1800"/>
            <w:vAlign w:val="center"/>
            <w:shd w:fill="F5F5F5"/>
          </w:tcPr>
          <w:p>
            <w:pPr>
              <w:bidi w:val="0"/>
              <w:spacing w:after="40" w:line="269" w:lineRule="auto"/>
              <w:jc w:val="start"/>
            </w:pPr>
            <w:r>
              <w:rPr>
                <w:rFonts w:ascii="Arial" w:hAnsi="Arial" w:cs="Arial"/>
                <w:sz w:val="18"/>
                <w:rtl w:val="0"/>
                <w:szCs w:val="18"/>
              </w:rPr>
              <w:t>Pilot delivery</w:t>
            </w:r>
          </w:p>
        </w:tc>
        <w:tc>
          <w:tcPr>
            <w:tcW w:type="dxa" w:w="2376"/>
            <w:vAlign w:val="center"/>
            <w:shd w:fill="F5F5F5"/>
          </w:tcPr>
          <w:p>
            <w:pPr>
              <w:bidi w:val="0"/>
              <w:spacing w:after="40" w:line="269" w:lineRule="auto"/>
              <w:jc w:val="start"/>
            </w:pPr>
            <w:r>
              <w:rPr>
                <w:rFonts w:ascii="Arial" w:hAnsi="Arial" w:cs="Arial"/>
                <w:sz w:val="18"/>
                <w:rtl w:val="0"/>
                <w:szCs w:val="18"/>
              </w:rPr>
              <w:t>Programme director and hosts</w:t>
            </w:r>
          </w:p>
        </w:tc>
        <w:tc>
          <w:tcPr>
            <w:tcW w:type="dxa" w:w="5760"/>
            <w:vAlign w:val="center"/>
            <w:shd w:fill="F5F5F5"/>
          </w:tcPr>
          <w:p>
            <w:pPr>
              <w:bidi w:val="0"/>
              <w:spacing w:after="40" w:line="269" w:lineRule="auto"/>
              <w:jc w:val="start"/>
            </w:pPr>
            <w:r>
              <w:rPr>
                <w:rFonts w:ascii="Arial" w:hAnsi="Arial" w:cs="Arial"/>
                <w:sz w:val="18"/>
                <w:rtl w:val="0"/>
                <w:szCs w:val="18"/>
              </w:rPr>
              <w:t>Weekly reviews, station gate decisions and remediation for participants who need support.</w:t>
            </w:r>
          </w:p>
        </w:tc>
      </w:tr>
      <w:tr>
        <w:trPr>
          <w:cantSplit/>
        </w:trPr>
        <w:tc>
          <w:tcPr>
            <w:tcW w:type="dxa" w:w="1800"/>
            <w:vAlign w:val="center"/>
            <w:shd w:fill="FFFFFF"/>
          </w:tcPr>
          <w:p>
            <w:pPr>
              <w:bidi w:val="0"/>
              <w:spacing w:after="40" w:line="269" w:lineRule="auto"/>
              <w:jc w:val="start"/>
            </w:pPr>
            <w:r>
              <w:rPr>
                <w:rFonts w:ascii="Arial" w:hAnsi="Arial" w:cs="Arial"/>
                <w:sz w:val="18"/>
                <w:rtl w:val="0"/>
                <w:szCs w:val="18"/>
              </w:rPr>
              <w:t>Sustained adoption</w:t>
            </w:r>
          </w:p>
        </w:tc>
        <w:tc>
          <w:tcPr>
            <w:tcW w:type="dxa" w:w="2376"/>
            <w:vAlign w:val="center"/>
            <w:shd w:fill="FFFFFF"/>
          </w:tcPr>
          <w:p>
            <w:pPr>
              <w:bidi w:val="0"/>
              <w:spacing w:after="40" w:line="269" w:lineRule="auto"/>
              <w:jc w:val="start"/>
            </w:pPr>
            <w:r>
              <w:rPr>
                <w:rFonts w:ascii="Arial" w:hAnsi="Arial" w:cs="Arial"/>
                <w:sz w:val="18"/>
                <w:rtl w:val="0"/>
                <w:szCs w:val="18"/>
              </w:rPr>
              <w:t>Sponsor and benefits owners</w:t>
            </w:r>
          </w:p>
        </w:tc>
        <w:tc>
          <w:tcPr>
            <w:tcW w:type="dxa" w:w="5760"/>
            <w:vAlign w:val="center"/>
            <w:shd w:fill="FFFFFF"/>
          </w:tcPr>
          <w:p>
            <w:pPr>
              <w:bidi w:val="0"/>
              <w:spacing w:after="40" w:line="269" w:lineRule="auto"/>
              <w:jc w:val="start"/>
            </w:pPr>
            <w:r>
              <w:rPr>
                <w:rFonts w:ascii="Arial" w:hAnsi="Arial" w:cs="Arial"/>
                <w:sz w:val="18"/>
                <w:rtl w:val="0"/>
                <w:szCs w:val="18"/>
              </w:rPr>
              <w:t>Pilot results, 90-, 180- and 365-day reviews and a continue-or-adapt decision.</w:t>
            </w:r>
          </w:p>
        </w:tc>
      </w:tr>
    </w:tbl>
    <w:p>
      <w:pPr>
        <w:spacing w:after="60"/>
      </w:pPr>
    </w:p>
    <w:p>
      <w:pPr>
        <w:pStyle w:val="Heading1"/>
        <w:bidi w:val="0"/>
        <w:jc w:val="start"/>
      </w:pPr>
      <w:r>
        <w:rPr>
          <w:rFonts w:ascii="Arial" w:hAnsi="Arial" w:cs="Arial"/>
          <w:sz w:val="30"/>
          <w:rtl w:val="0"/>
          <w:szCs w:val="30"/>
        </w:rPr>
        <w:t>Post-programme impact</w:t>
      </w:r>
    </w:p>
    <w:p>
      <w:pPr>
        <w:bidi w:val="0"/>
        <w:jc w:val="start"/>
      </w:pPr>
      <w:r>
        <w:rPr>
          <w:rFonts w:ascii="Arial" w:hAnsi="Arial" w:cs="Arial"/>
          <w:sz w:val="21"/>
          <w:rtl w:val="0"/>
          <w:szCs w:val="21"/>
        </w:rPr>
        <w:t>The proposed 12-month follow-up includes eight mentoring touchpoints in months 1, 2, 3, 4, 6, 8, 10 and 12. Records cover development objectives, project implementation, return-to-work challenges and line-manager feedback.</w:t>
      </w:r>
    </w:p>
    <w:p>
      <w:pPr>
        <w:bidi w:val="0"/>
        <w:jc w:val="start"/>
      </w:pPr>
      <w:r>
        <w:rPr>
          <w:rFonts w:ascii="Arial" w:hAnsi="Arial" w:cs="Arial"/>
          <w:sz w:val="21"/>
          <w:rtl w:val="0"/>
          <w:szCs w:val="21"/>
        </w:rPr>
        <w:t>Delivery quality is measured through evidence and feedback completeness; learning through before-and-after performance tasks; transfer through documented manager and mentor examples; benefits through project outcomes against an agreed baseline.</w:t>
      </w:r>
    </w:p>
    <w:p>
      <w:pPr>
        <w:bidi w:val="0"/>
        <w:jc w:val="start"/>
      </w:pPr>
      <w:r>
        <w:rPr>
          <w:rFonts w:ascii="Arial" w:hAnsi="Arial" w:cs="Arial"/>
          <w:sz w:val="21"/>
          <w:rtl w:val="0"/>
          <w:szCs w:val="21"/>
        </w:rPr>
        <w:t>Report denominators, sample size and non-response. Readiness improvement or process-time reduction requires a definition and data owner; neither is presented as a promise or achieved result. Where practical, use a suitable comparison group while accounting for differences in roles.</w:t>
      </w:r>
    </w:p>
    <w:p>
      <w:pPr>
        <w:pStyle w:val="Heading1"/>
        <w:bidi w:val="0"/>
        <w:jc w:val="start"/>
      </w:pPr>
      <w:r>
        <w:rPr>
          <w:rFonts w:ascii="Arial" w:hAnsi="Arial" w:cs="Arial"/>
          <w:sz w:val="30"/>
          <w:rtl w:val="0"/>
          <w:szCs w:val="30"/>
        </w:rPr>
        <w:t>Cost and funding model</w:t>
      </w:r>
    </w:p>
    <w:p>
      <w:pPr>
        <w:bidi w:val="0"/>
        <w:jc w:val="start"/>
      </w:pPr>
      <w:r>
        <w:rPr>
          <w:rFonts w:ascii="Arial" w:hAnsi="Arial" w:cs="Arial"/>
          <w:sz w:val="21"/>
          <w:rtl w:val="0"/>
          <w:szCs w:val="21"/>
        </w:rPr>
        <w:t>Cycle cost combines fixed setup, per-participant training, travel, accommodation, subsistence, insurance and support, plus an approved contingency. Economic cost also includes release time, cover and opportunity cost even where these are not additional payments.</w:t>
      </w:r>
    </w:p>
    <w:p>
      <w:pPr>
        <w:bidi w:val="0"/>
        <w:jc w:val="start"/>
      </w:pPr>
      <w:r>
        <w:rPr>
          <w:rFonts w:ascii="Arial" w:hAnsi="Arial" w:cs="Arial"/>
          <w:sz w:val="21"/>
          <w:rtl w:val="0"/>
          <w:szCs w:val="21"/>
        </w:rPr>
        <w:t>The website provides a planning calculator with editable illustrative inputs. It assumes 91 days abroad within the 3/6/3/4-week allocation. Actual nights, travel days, fees, taxes and insurance require documented quotations and arrangements. Figures are neither host quotations nor a budget approval request.</w:t>
      </w:r>
    </w:p>
    <w:p>
      <w:pPr>
        <w:bidi w:val="0"/>
        <w:jc w:val="start"/>
      </w:pPr>
      <w:r>
        <w:rPr>
          <w:rFonts w:ascii="Arial" w:hAnsi="Arial" w:cs="Arial"/>
          <w:sz w:val="21"/>
          <w:rtl w:val="0"/>
          <w:szCs w:val="21"/>
        </w:rPr>
        <w:t>Before launch, finance should present three cohort-size cases up to 20 participants, sensitivity to exchange rates, cancellation and delay, and a fully scoped cost estimate. The budget ceiling is set after verification, not inferred from demonstration data.</w:t>
      </w:r>
    </w:p>
    <w:p>
      <w:pPr>
        <w:pStyle w:val="Heading1"/>
        <w:bidi w:val="0"/>
        <w:jc w:val="start"/>
      </w:pPr>
      <w:r>
        <w:rPr>
          <w:rFonts w:ascii="Arial" w:hAnsi="Arial" w:cs="Arial"/>
          <w:sz w:val="30"/>
          <w:rtl w:val="0"/>
          <w:szCs w:val="30"/>
        </w:rPr>
        <w:t>Risks and treatment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088"/>
        <w:gridCol w:w="5544"/>
        <w:gridCol w:w="2304"/>
      </w:tblGrid>
      <w:tr>
        <w:trPr>
          <w:tblHeader/>
        </w:trPr>
        <w:tc>
          <w:tcPr>
            <w:tcW w:type="dxa" w:w="2088"/>
            <w:vAlign w:val="center"/>
            <w:shd w:fill="333333"/>
          </w:tcPr>
          <w:p>
            <w:pPr>
              <w:bidi w:val="0"/>
              <w:spacing w:after="40" w:line="269" w:lineRule="auto"/>
              <w:jc w:val="start"/>
            </w:pPr>
            <w:r>
              <w:rPr>
                <w:rFonts w:ascii="Arial" w:hAnsi="Arial" w:cs="Arial"/>
                <w:b/>
                <w:color w:val="FFFFFF"/>
                <w:sz w:val="18"/>
                <w:rtl w:val="0"/>
                <w:szCs w:val="18"/>
              </w:rPr>
              <w:t>Risk</w:t>
            </w:r>
          </w:p>
        </w:tc>
        <w:tc>
          <w:tcPr>
            <w:tcW w:type="dxa" w:w="5544"/>
            <w:vAlign w:val="center"/>
            <w:shd w:fill="333333"/>
          </w:tcPr>
          <w:p>
            <w:pPr>
              <w:bidi w:val="0"/>
              <w:spacing w:after="40" w:line="269" w:lineRule="auto"/>
              <w:jc w:val="start"/>
            </w:pPr>
            <w:r>
              <w:rPr>
                <w:rFonts w:ascii="Arial" w:hAnsi="Arial" w:cs="Arial"/>
                <w:b/>
                <w:color w:val="FFFFFF"/>
                <w:sz w:val="18"/>
                <w:rtl w:val="0"/>
                <w:szCs w:val="18"/>
              </w:rPr>
              <w:t>Treatment</w:t>
            </w:r>
          </w:p>
        </w:tc>
        <w:tc>
          <w:tcPr>
            <w:tcW w:type="dxa" w:w="2304"/>
            <w:vAlign w:val="center"/>
            <w:shd w:fill="333333"/>
          </w:tcPr>
          <w:p>
            <w:pPr>
              <w:bidi w:val="0"/>
              <w:spacing w:after="40" w:line="269" w:lineRule="auto"/>
              <w:jc w:val="start"/>
            </w:pPr>
            <w:r>
              <w:rPr>
                <w:rFonts w:ascii="Arial" w:hAnsi="Arial" w:cs="Arial"/>
                <w:b/>
                <w:color w:val="FFFFFF"/>
                <w:sz w:val="18"/>
                <w:rtl w:val="0"/>
                <w:szCs w:val="18"/>
              </w:rPr>
              <w:t>Proposed owner</w:t>
            </w:r>
          </w:p>
        </w:tc>
      </w:tr>
      <w:tr>
        <w:trPr>
          <w:cantSplit/>
        </w:trPr>
        <w:tc>
          <w:tcPr>
            <w:tcW w:type="dxa" w:w="2088"/>
            <w:vAlign w:val="center"/>
            <w:shd w:fill="FFFFFF"/>
          </w:tcPr>
          <w:p>
            <w:pPr>
              <w:bidi w:val="0"/>
              <w:spacing w:after="40" w:line="269" w:lineRule="auto"/>
              <w:jc w:val="start"/>
            </w:pPr>
            <w:r>
              <w:rPr>
                <w:rFonts w:ascii="Arial" w:hAnsi="Arial" w:cs="Arial"/>
                <w:sz w:val="18"/>
                <w:rtl w:val="0"/>
                <w:szCs w:val="18"/>
              </w:rPr>
              <w:t>Host unavailability or civilian eligibility</w:t>
            </w:r>
          </w:p>
        </w:tc>
        <w:tc>
          <w:tcPr>
            <w:tcW w:type="dxa" w:w="5544"/>
            <w:vAlign w:val="center"/>
            <w:shd w:fill="FFFFFF"/>
          </w:tcPr>
          <w:p>
            <w:pPr>
              <w:bidi w:val="0"/>
              <w:spacing w:after="40" w:line="269" w:lineRule="auto"/>
              <w:jc w:val="start"/>
            </w:pPr>
            <w:r>
              <w:rPr>
                <w:rFonts w:ascii="Arial" w:hAnsi="Arial" w:cs="Arial"/>
                <w:sz w:val="18"/>
                <w:rtl w:val="0"/>
                <w:szCs w:val="18"/>
              </w:rPr>
              <w:t>Written agreement for a tailored pathway; a fixed host is not replaced without proposer and MOD decision.</w:t>
            </w:r>
          </w:p>
        </w:tc>
        <w:tc>
          <w:tcPr>
            <w:tcW w:type="dxa" w:w="2304"/>
            <w:vAlign w:val="center"/>
            <w:shd w:fill="FFFFFF"/>
          </w:tcPr>
          <w:p>
            <w:pPr>
              <w:bidi w:val="0"/>
              <w:spacing w:after="40" w:line="269" w:lineRule="auto"/>
              <w:jc w:val="start"/>
            </w:pPr>
            <w:r>
              <w:rPr>
                <w:rFonts w:ascii="Arial" w:hAnsi="Arial" w:cs="Arial"/>
                <w:sz w:val="18"/>
                <w:rtl w:val="0"/>
                <w:szCs w:val="18"/>
              </w:rPr>
              <w:t>International cooperation</w:t>
            </w:r>
          </w:p>
        </w:tc>
      </w:tr>
      <w:tr>
        <w:trPr>
          <w:cantSplit/>
        </w:trPr>
        <w:tc>
          <w:tcPr>
            <w:tcW w:type="dxa" w:w="2088"/>
            <w:vAlign w:val="center"/>
            <w:shd w:fill="F5F5F5"/>
          </w:tcPr>
          <w:p>
            <w:pPr>
              <w:bidi w:val="0"/>
              <w:spacing w:after="40" w:line="269" w:lineRule="auto"/>
              <w:jc w:val="start"/>
            </w:pPr>
            <w:r>
              <w:rPr>
                <w:rFonts w:ascii="Arial" w:hAnsi="Arial" w:cs="Arial"/>
                <w:sz w:val="18"/>
                <w:rtl w:val="0"/>
                <w:szCs w:val="18"/>
              </w:rPr>
              <w:t>Travel or geopolitical disruption</w:t>
            </w:r>
          </w:p>
        </w:tc>
        <w:tc>
          <w:tcPr>
            <w:tcW w:type="dxa" w:w="5544"/>
            <w:vAlign w:val="center"/>
            <w:shd w:fill="F5F5F5"/>
          </w:tcPr>
          <w:p>
            <w:pPr>
              <w:bidi w:val="0"/>
              <w:spacing w:after="40" w:line="269" w:lineRule="auto"/>
              <w:jc w:val="start"/>
            </w:pPr>
            <w:r>
              <w:rPr>
                <w:rFonts w:ascii="Arial" w:hAnsi="Arial" w:cs="Arial"/>
                <w:sz w:val="18"/>
                <w:rtl w:val="0"/>
                <w:szCs w:val="18"/>
              </w:rPr>
              <w:t>Pre-launch readiness review and response plan that respects constraints or returns the decision to the sponsor.</w:t>
            </w:r>
          </w:p>
        </w:tc>
        <w:tc>
          <w:tcPr>
            <w:tcW w:type="dxa" w:w="2304"/>
            <w:vAlign w:val="center"/>
            <w:shd w:fill="F5F5F5"/>
          </w:tcPr>
          <w:p>
            <w:pPr>
              <w:bidi w:val="0"/>
              <w:spacing w:after="40" w:line="269" w:lineRule="auto"/>
              <w:jc w:val="start"/>
            </w:pPr>
            <w:r>
              <w:rPr>
                <w:rFonts w:ascii="Arial" w:hAnsi="Arial" w:cs="Arial"/>
                <w:sz w:val="18"/>
                <w:rtl w:val="0"/>
                <w:szCs w:val="18"/>
              </w:rPr>
              <w:t>Programme director</w:t>
            </w:r>
          </w:p>
        </w:tc>
      </w:tr>
      <w:tr>
        <w:trPr>
          <w:cantSplit/>
        </w:trPr>
        <w:tc>
          <w:tcPr>
            <w:tcW w:type="dxa" w:w="2088"/>
            <w:vAlign w:val="center"/>
            <w:shd w:fill="FFFFFF"/>
          </w:tcPr>
          <w:p>
            <w:pPr>
              <w:bidi w:val="0"/>
              <w:spacing w:after="40" w:line="269" w:lineRule="auto"/>
              <w:jc w:val="start"/>
            </w:pPr>
            <w:r>
              <w:rPr>
                <w:rFonts w:ascii="Arial" w:hAnsi="Arial" w:cs="Arial"/>
                <w:sz w:val="18"/>
                <w:rtl w:val="0"/>
                <w:szCs w:val="18"/>
              </w:rPr>
              <w:t>Selection or assessment bias</w:t>
            </w:r>
          </w:p>
        </w:tc>
        <w:tc>
          <w:tcPr>
            <w:tcW w:type="dxa" w:w="5544"/>
            <w:vAlign w:val="center"/>
            <w:shd w:fill="FFFFFF"/>
          </w:tcPr>
          <w:p>
            <w:pPr>
              <w:bidi w:val="0"/>
              <w:spacing w:after="40" w:line="269" w:lineRule="auto"/>
              <w:jc w:val="start"/>
            </w:pPr>
            <w:r>
              <w:rPr>
                <w:rFonts w:ascii="Arial" w:hAnsi="Arial" w:cs="Arial"/>
                <w:sz w:val="18"/>
                <w:rtl w:val="0"/>
                <w:szCs w:val="18"/>
              </w:rPr>
              <w:t>Behavioural criteria, two assessors, calibration, conflict declarations and decision review.</w:t>
            </w:r>
          </w:p>
        </w:tc>
        <w:tc>
          <w:tcPr>
            <w:tcW w:type="dxa" w:w="2304"/>
            <w:vAlign w:val="center"/>
            <w:shd w:fill="FFFFFF"/>
          </w:tcPr>
          <w:p>
            <w:pPr>
              <w:bidi w:val="0"/>
              <w:spacing w:after="40" w:line="269" w:lineRule="auto"/>
              <w:jc w:val="start"/>
            </w:pPr>
            <w:r>
              <w:rPr>
                <w:rFonts w:ascii="Arial" w:hAnsi="Arial" w:cs="Arial"/>
                <w:sz w:val="18"/>
                <w:rtl w:val="0"/>
                <w:szCs w:val="18"/>
              </w:rPr>
              <w:t>Assessment panel</w:t>
            </w:r>
          </w:p>
        </w:tc>
      </w:tr>
      <w:tr>
        <w:trPr>
          <w:cantSplit/>
        </w:trPr>
        <w:tc>
          <w:tcPr>
            <w:tcW w:type="dxa" w:w="2088"/>
            <w:vAlign w:val="center"/>
            <w:shd w:fill="F5F5F5"/>
          </w:tcPr>
          <w:p>
            <w:pPr>
              <w:bidi w:val="0"/>
              <w:spacing w:after="40" w:line="269" w:lineRule="auto"/>
              <w:jc w:val="start"/>
            </w:pPr>
            <w:r>
              <w:rPr>
                <w:rFonts w:ascii="Arial" w:hAnsi="Arial" w:cs="Arial"/>
                <w:sz w:val="18"/>
                <w:rtl w:val="0"/>
                <w:szCs w:val="18"/>
              </w:rPr>
              <w:t>Weak transfer to work</w:t>
            </w:r>
          </w:p>
        </w:tc>
        <w:tc>
          <w:tcPr>
            <w:tcW w:type="dxa" w:w="5544"/>
            <w:vAlign w:val="center"/>
            <w:shd w:fill="F5F5F5"/>
          </w:tcPr>
          <w:p>
            <w:pPr>
              <w:bidi w:val="0"/>
              <w:spacing w:after="40" w:line="269" w:lineRule="auto"/>
              <w:jc w:val="start"/>
            </w:pPr>
            <w:r>
              <w:rPr>
                <w:rFonts w:ascii="Arial" w:hAnsi="Arial" w:cs="Arial"/>
                <w:sz w:val="18"/>
                <w:rtl w:val="0"/>
                <w:szCs w:val="18"/>
              </w:rPr>
              <w:t>Benefits owner, protected application time, mentoring and 12-month follow-up.</w:t>
            </w:r>
          </w:p>
        </w:tc>
        <w:tc>
          <w:tcPr>
            <w:tcW w:type="dxa" w:w="2304"/>
            <w:vAlign w:val="center"/>
            <w:shd w:fill="F5F5F5"/>
          </w:tcPr>
          <w:p>
            <w:pPr>
              <w:bidi w:val="0"/>
              <w:spacing w:after="40" w:line="269" w:lineRule="auto"/>
              <w:jc w:val="start"/>
            </w:pPr>
            <w:r>
              <w:rPr>
                <w:rFonts w:ascii="Arial" w:hAnsi="Arial" w:cs="Arial"/>
                <w:sz w:val="18"/>
                <w:rtl w:val="0"/>
                <w:szCs w:val="18"/>
              </w:rPr>
              <w:t>Line manager</w:t>
            </w:r>
          </w:p>
        </w:tc>
      </w:tr>
      <w:tr>
        <w:trPr>
          <w:cantSplit/>
        </w:trPr>
        <w:tc>
          <w:tcPr>
            <w:tcW w:type="dxa" w:w="2088"/>
            <w:vAlign w:val="center"/>
            <w:shd w:fill="FFFFFF"/>
          </w:tcPr>
          <w:p>
            <w:pPr>
              <w:bidi w:val="0"/>
              <w:spacing w:after="40" w:line="269" w:lineRule="auto"/>
              <w:jc w:val="start"/>
            </w:pPr>
            <w:r>
              <w:rPr>
                <w:rFonts w:ascii="Arial" w:hAnsi="Arial" w:cs="Arial"/>
                <w:sz w:val="18"/>
                <w:rtl w:val="0"/>
                <w:szCs w:val="18"/>
              </w:rPr>
              <w:t>Cost uncertainty</w:t>
            </w:r>
          </w:p>
        </w:tc>
        <w:tc>
          <w:tcPr>
            <w:tcW w:type="dxa" w:w="5544"/>
            <w:vAlign w:val="center"/>
            <w:shd w:fill="FFFFFF"/>
          </w:tcPr>
          <w:p>
            <w:pPr>
              <w:bidi w:val="0"/>
              <w:spacing w:after="40" w:line="269" w:lineRule="auto"/>
              <w:jc w:val="start"/>
            </w:pPr>
            <w:r>
              <w:rPr>
                <w:rFonts w:ascii="Arial" w:hAnsi="Arial" w:cs="Arial"/>
                <w:sz w:val="18"/>
                <w:rtl w:val="0"/>
                <w:szCs w:val="18"/>
              </w:rPr>
              <w:t>Documented quotations, complete scope, contingency and change review.</w:t>
            </w:r>
          </w:p>
        </w:tc>
        <w:tc>
          <w:tcPr>
            <w:tcW w:type="dxa" w:w="2304"/>
            <w:vAlign w:val="center"/>
            <w:shd w:fill="FFFFFF"/>
          </w:tcPr>
          <w:p>
            <w:pPr>
              <w:bidi w:val="0"/>
              <w:spacing w:after="40" w:line="269" w:lineRule="auto"/>
              <w:jc w:val="start"/>
            </w:pPr>
            <w:r>
              <w:rPr>
                <w:rFonts w:ascii="Arial" w:hAnsi="Arial" w:cs="Arial"/>
                <w:sz w:val="18"/>
                <w:rtl w:val="0"/>
                <w:szCs w:val="18"/>
              </w:rPr>
              <w:t>Finance</w:t>
            </w:r>
          </w:p>
        </w:tc>
      </w:tr>
      <w:tr>
        <w:trPr>
          <w:cantSplit/>
        </w:trPr>
        <w:tc>
          <w:tcPr>
            <w:tcW w:type="dxa" w:w="2088"/>
            <w:vAlign w:val="center"/>
            <w:shd w:fill="F5F5F5"/>
          </w:tcPr>
          <w:p>
            <w:pPr>
              <w:bidi w:val="0"/>
              <w:spacing w:after="40" w:line="269" w:lineRule="auto"/>
              <w:jc w:val="start"/>
            </w:pPr>
            <w:r>
              <w:rPr>
                <w:rFonts w:ascii="Arial" w:hAnsi="Arial" w:cs="Arial"/>
                <w:sz w:val="18"/>
                <w:rtl w:val="0"/>
                <w:szCs w:val="18"/>
              </w:rPr>
              <w:t>Real information entered into the demo</w:t>
            </w:r>
          </w:p>
        </w:tc>
        <w:tc>
          <w:tcPr>
            <w:tcW w:type="dxa" w:w="5544"/>
            <w:vAlign w:val="center"/>
            <w:shd w:fill="F5F5F5"/>
          </w:tcPr>
          <w:p>
            <w:pPr>
              <w:bidi w:val="0"/>
              <w:spacing w:after="40" w:line="269" w:lineRule="auto"/>
              <w:jc w:val="start"/>
            </w:pPr>
            <w:r>
              <w:rPr>
                <w:rFonts w:ascii="Arial" w:hAnsi="Arial" w:cs="Arial"/>
                <w:sz w:val="18"/>
                <w:rtl w:val="0"/>
                <w:szCs w:val="18"/>
              </w:rPr>
              <w:t>Fictional data only; no MOD-system connection or collection of real documents or identifiers.</w:t>
            </w:r>
          </w:p>
        </w:tc>
        <w:tc>
          <w:tcPr>
            <w:tcW w:type="dxa" w:w="2304"/>
            <w:vAlign w:val="center"/>
            <w:shd w:fill="F5F5F5"/>
          </w:tcPr>
          <w:p>
            <w:pPr>
              <w:bidi w:val="0"/>
              <w:spacing w:after="40" w:line="269" w:lineRule="auto"/>
              <w:jc w:val="start"/>
            </w:pPr>
            <w:r>
              <w:rPr>
                <w:rFonts w:ascii="Arial" w:hAnsi="Arial" w:cs="Arial"/>
                <w:sz w:val="18"/>
                <w:rtl w:val="0"/>
                <w:szCs w:val="18"/>
              </w:rPr>
              <w:t>Platform owner</w:t>
            </w:r>
          </w:p>
        </w:tc>
      </w:tr>
    </w:tbl>
    <w:p>
      <w:pPr>
        <w:spacing w:after="60"/>
      </w:pPr>
    </w:p>
    <w:p>
      <w:pPr>
        <w:pStyle w:val="Heading1"/>
        <w:bidi w:val="0"/>
        <w:jc w:val="start"/>
      </w:pPr>
      <w:r>
        <w:rPr>
          <w:rFonts w:ascii="Arial" w:hAnsi="Arial" w:cs="Arial"/>
          <w:sz w:val="30"/>
          <w:rtl w:val="0"/>
          <w:szCs w:val="30"/>
        </w:rPr>
        <w:t>Digital ecosystem and transition</w:t>
      </w:r>
    </w:p>
    <w:p>
      <w:pPr>
        <w:bidi w:val="0"/>
        <w:jc w:val="start"/>
      </w:pPr>
      <w:r>
        <w:rPr>
          <w:rFonts w:ascii="Arial" w:hAnsi="Arial" w:cs="Arial"/>
          <w:sz w:val="21"/>
          <w:rtl w:val="0"/>
          <w:szCs w:val="21"/>
        </w:rPr>
        <w:t>This release demonstrates nomination, selection, learning, monitoring and assessment. Records, figures and aliases are fictional. Demo changes are saved only in the user’s browser and can be reset; there are no real accounts, messages or submissions to MOD.</w:t>
      </w:r>
    </w:p>
    <w:p>
      <w:pPr>
        <w:bidi w:val="0"/>
        <w:jc w:val="start"/>
      </w:pPr>
      <w:r>
        <w:rPr>
          <w:rFonts w:ascii="Arial" w:hAnsi="Arial" w:cs="Arial"/>
          <w:sz w:val="21"/>
          <w:rtl w:val="0"/>
          <w:szCs w:val="21"/>
        </w:rPr>
        <w:t>Real operation requires an approved role and permissions model, institutional identity, data hosting, retention and deletion, server-side audit, incident response and support, and integrations selected by MOD. These are transition requirements, not security capabilities established by this demonstration.</w:t>
      </w:r>
    </w:p>
    <w:p>
      <w:pPr>
        <w:bidi w:val="0"/>
        <w:jc w:val="start"/>
      </w:pPr>
      <w:r>
        <w:rPr>
          <w:rFonts w:ascii="Arial" w:hAnsi="Arial" w:cs="Arial"/>
          <w:sz w:val="21"/>
          <w:rtl w:val="0"/>
          <w:szCs w:val="21"/>
        </w:rPr>
        <w:t>Delivery begins with detailed design and host validation, followed by pilot preparation and assessment calibration, the 16-week cycle, then impact follow-up and a scale decision. Actual dates depend on approvals and readiness; no confirmed launch date is claimed.</w:t>
      </w:r>
    </w:p>
    <w:p>
      <w:r>
        <w:br w:type="page"/>
      </w:r>
    </w:p>
    <w:p>
      <w:pPr>
        <w:pStyle w:val="Heading1"/>
        <w:bidi w:val="0"/>
        <w:jc w:val="start"/>
      </w:pPr>
      <w:r>
        <w:rPr>
          <w:rFonts w:ascii="Arial" w:hAnsi="Arial" w:cs="Arial"/>
          <w:sz w:val="30"/>
          <w:rtl w:val="0"/>
          <w:szCs w:val="30"/>
        </w:rPr>
        <w:t>Appendix on stations and proposed hosts</w:t>
      </w:r>
    </w:p>
    <w:p>
      <w:pPr>
        <w:pStyle w:val="Heading2"/>
        <w:bidi w:val="0"/>
        <w:jc w:val="start"/>
      </w:pPr>
      <w:r>
        <w:rPr>
          <w:rFonts w:ascii="Arial" w:hAnsi="Arial" w:cs="Arial"/>
          <w:sz w:val="24"/>
          <w:rtl w:val="0"/>
          <w:szCs w:val="24"/>
        </w:rPr>
        <w:t>United Arab Emirates</w:t>
      </w:r>
    </w:p>
    <w:p>
      <w:pPr>
        <w:bidi w:val="0"/>
        <w:jc w:val="start"/>
      </w:pPr>
      <w:r>
        <w:rPr>
          <w:rFonts w:ascii="Arial" w:hAnsi="Arial" w:cs="Arial"/>
          <w:sz w:val="21"/>
          <w:rtl w:val="0"/>
          <w:szCs w:val="21"/>
        </w:rPr>
        <w:t>Weeks 1–3  |  National ecosystem</w:t>
      </w:r>
    </w:p>
    <w:p>
      <w:pPr>
        <w:bidi w:val="0"/>
        <w:jc w:val="start"/>
      </w:pPr>
      <w:r>
        <w:rPr>
          <w:rFonts w:ascii="Arial" w:hAnsi="Arial" w:cs="Arial"/>
          <w:sz w:val="21"/>
          <w:rtl w:val="0"/>
          <w:szCs w:val="21"/>
        </w:rPr>
        <w:t>Build a shared understanding of MOD and the capability ecosystem, connecting priorities to people, resources, industry and readiness.</w:t>
      </w:r>
    </w:p>
    <w:p>
      <w:pPr>
        <w:bidi w:val="0"/>
        <w:jc w:val="start"/>
      </w:pPr>
      <w:r>
        <w:rPr>
          <w:rFonts w:ascii="Arial" w:hAnsi="Arial" w:cs="Arial"/>
          <w:sz w:val="21"/>
          <w:rtl w:val="0"/>
          <w:szCs w:val="21"/>
        </w:rPr>
        <w:t>Proposed hosts and tracks: Tawazun Council؛ EDGE Group؛ GAL؛ Technology Innovation Institute (TII)</w:t>
      </w:r>
    </w:p>
    <w:p>
      <w:pPr>
        <w:bidi w:val="0"/>
        <w:jc w:val="start"/>
      </w:pPr>
      <w:r>
        <w:rPr>
          <w:rFonts w:ascii="Arial" w:hAnsi="Arial" w:cs="Arial"/>
          <w:sz w:val="21"/>
          <w:rtl w:val="0"/>
          <w:szCs w:val="21"/>
        </w:rPr>
        <w:t>Output: Ecosystem map, competency baseline and an institutional challenge approved for study.</w:t>
      </w:r>
    </w:p>
    <w:p>
      <w:pPr>
        <w:bidi w:val="0"/>
        <w:jc w:val="start"/>
      </w:pPr>
      <w:r>
        <w:rPr>
          <w:rFonts w:ascii="Arial" w:hAnsi="Arial" w:cs="Arial"/>
          <w:sz w:val="21"/>
          <w:rtl w:val="0"/>
          <w:szCs w:val="21"/>
        </w:rPr>
        <w:t>Includes engagement with relevant MOD functions, subject to formal coordination.</w:t>
      </w:r>
    </w:p>
    <w:p>
      <w:pPr>
        <w:pStyle w:val="Heading2"/>
        <w:bidi w:val="0"/>
        <w:jc w:val="start"/>
      </w:pPr>
      <w:r>
        <w:rPr>
          <w:rFonts w:ascii="Arial" w:hAnsi="Arial" w:cs="Arial"/>
          <w:sz w:val="24"/>
          <w:rtl w:val="0"/>
          <w:szCs w:val="24"/>
        </w:rPr>
        <w:t>United Kingdom</w:t>
      </w:r>
    </w:p>
    <w:p>
      <w:pPr>
        <w:bidi w:val="0"/>
        <w:jc w:val="start"/>
      </w:pPr>
      <w:r>
        <w:rPr>
          <w:rFonts w:ascii="Arial" w:hAnsi="Arial" w:cs="Arial"/>
          <w:sz w:val="21"/>
          <w:rtl w:val="0"/>
          <w:szCs w:val="21"/>
        </w:rPr>
        <w:t>Weeks 4–9  |  Sandhurst • Cosford</w:t>
      </w:r>
    </w:p>
    <w:p>
      <w:pPr>
        <w:bidi w:val="0"/>
        <w:jc w:val="start"/>
      </w:pPr>
      <w:r>
        <w:rPr>
          <w:rFonts w:ascii="Arial" w:hAnsi="Arial" w:cs="Arial"/>
          <w:sz w:val="21"/>
          <w:rtl w:val="0"/>
          <w:szCs w:val="21"/>
        </w:rPr>
        <w:t>Team leadership, judgement under pressure, professional discipline and the relationship between technical capability and readiness.</w:t>
      </w:r>
    </w:p>
    <w:p>
      <w:pPr>
        <w:bidi w:val="0"/>
        <w:jc w:val="start"/>
      </w:pPr>
      <w:r>
        <w:rPr>
          <w:rFonts w:ascii="Arial" w:hAnsi="Arial" w:cs="Arial"/>
          <w:sz w:val="21"/>
          <w:rtl w:val="0"/>
          <w:szCs w:val="21"/>
        </w:rPr>
        <w:t>Proposed hosts and tracks: Royal Military Academy Sandhurst؛ RAF Cosford؛ Defence Academy and Cranfield University؛ Relevant UK MOD programmes and institutions</w:t>
      </w:r>
    </w:p>
    <w:p>
      <w:pPr>
        <w:bidi w:val="0"/>
        <w:jc w:val="start"/>
      </w:pPr>
      <w:r>
        <w:rPr>
          <w:rFonts w:ascii="Arial" w:hAnsi="Arial" w:cs="Arial"/>
          <w:sz w:val="21"/>
          <w:rtl w:val="0"/>
          <w:szCs w:val="21"/>
        </w:rPr>
        <w:t>Output: Leadership observation record, decision exercise and system-readiness review.</w:t>
      </w:r>
    </w:p>
    <w:p>
      <w:pPr>
        <w:bidi w:val="0"/>
        <w:jc w:val="start"/>
      </w:pPr>
      <w:r>
        <w:rPr>
          <w:rFonts w:ascii="Arial" w:hAnsi="Arial" w:cs="Arial"/>
          <w:sz w:val="21"/>
          <w:rtl w:val="0"/>
          <w:szCs w:val="21"/>
        </w:rPr>
        <w:t>A proposed tailored pathway for military and civilian personnel; it does not represent admission to a standard commissioning course or a military qualification.</w:t>
      </w:r>
    </w:p>
    <w:p>
      <w:pPr>
        <w:pStyle w:val="Heading2"/>
        <w:bidi w:val="0"/>
        <w:jc w:val="start"/>
      </w:pPr>
      <w:r>
        <w:rPr>
          <w:rFonts w:ascii="Arial" w:hAnsi="Arial" w:cs="Arial"/>
          <w:sz w:val="24"/>
          <w:rtl w:val="0"/>
          <w:szCs w:val="24"/>
        </w:rPr>
        <w:t>France</w:t>
      </w:r>
    </w:p>
    <w:p>
      <w:pPr>
        <w:bidi w:val="0"/>
        <w:jc w:val="start"/>
      </w:pPr>
      <w:r>
        <w:rPr>
          <w:rFonts w:ascii="Arial" w:hAnsi="Arial" w:cs="Arial"/>
          <w:sz w:val="21"/>
          <w:rtl w:val="0"/>
          <w:szCs w:val="21"/>
        </w:rPr>
        <w:t>Weeks 10–12  |  Paris • Bordeaux</w:t>
      </w:r>
    </w:p>
    <w:p>
      <w:pPr>
        <w:bidi w:val="0"/>
        <w:jc w:val="start"/>
      </w:pPr>
      <w:r>
        <w:rPr>
          <w:rFonts w:ascii="Arial" w:hAnsi="Arial" w:cs="Arial"/>
          <w:sz w:val="21"/>
          <w:rtl w:val="0"/>
          <w:szCs w:val="21"/>
        </w:rPr>
        <w:t>Partnerships, investment, engineering, integration and knowledge transfer, connecting policy to industrial decisions and acquisition.</w:t>
      </w:r>
    </w:p>
    <w:p>
      <w:pPr>
        <w:bidi w:val="0"/>
        <w:jc w:val="start"/>
      </w:pPr>
      <w:r>
        <w:rPr>
          <w:rFonts w:ascii="Arial" w:hAnsi="Arial" w:cs="Arial"/>
          <w:sz w:val="21"/>
          <w:rtl w:val="0"/>
          <w:szCs w:val="21"/>
        </w:rPr>
        <w:t>Proposed hosts and tracks: EDGE Europe — Paris؛ Engineering and integration track in Bordeaux</w:t>
      </w:r>
    </w:p>
    <w:p>
      <w:pPr>
        <w:bidi w:val="0"/>
        <w:jc w:val="start"/>
      </w:pPr>
      <w:r>
        <w:rPr>
          <w:rFonts w:ascii="Arial" w:hAnsi="Arial" w:cs="Arial"/>
          <w:sz w:val="21"/>
          <w:rtl w:val="0"/>
          <w:szCs w:val="21"/>
        </w:rPr>
        <w:t>Output: A partnership or acquisition case covering integration, risk and knowledge transfer.</w:t>
      </w:r>
    </w:p>
    <w:p>
      <w:pPr>
        <w:bidi w:val="0"/>
        <w:jc w:val="start"/>
      </w:pPr>
      <w:r>
        <w:rPr>
          <w:rFonts w:ascii="Arial" w:hAnsi="Arial" w:cs="Arial"/>
          <w:sz w:val="21"/>
          <w:rtl w:val="0"/>
          <w:szCs w:val="21"/>
        </w:rPr>
        <w:t>EDGE Europe remains the station anchor. Site and activity access must be agreed with the host.</w:t>
      </w:r>
    </w:p>
    <w:p>
      <w:pPr>
        <w:pStyle w:val="Heading2"/>
        <w:bidi w:val="0"/>
        <w:jc w:val="start"/>
      </w:pPr>
      <w:r>
        <w:rPr>
          <w:rFonts w:ascii="Arial" w:hAnsi="Arial" w:cs="Arial"/>
          <w:sz w:val="24"/>
          <w:rtl w:val="0"/>
          <w:szCs w:val="24"/>
        </w:rPr>
        <w:t>United States</w:t>
      </w:r>
    </w:p>
    <w:p>
      <w:pPr>
        <w:bidi w:val="0"/>
        <w:jc w:val="start"/>
      </w:pPr>
      <w:r>
        <w:rPr>
          <w:rFonts w:ascii="Arial" w:hAnsi="Arial" w:cs="Arial"/>
          <w:sz w:val="21"/>
          <w:rtl w:val="0"/>
          <w:szCs w:val="21"/>
        </w:rPr>
        <w:t>Weeks 13–16  |  Government cooperation • Acquisition</w:t>
      </w:r>
    </w:p>
    <w:p>
      <w:pPr>
        <w:bidi w:val="0"/>
        <w:jc w:val="start"/>
      </w:pPr>
      <w:r>
        <w:rPr>
          <w:rFonts w:ascii="Arial" w:hAnsi="Arial" w:cs="Arial"/>
          <w:sz w:val="21"/>
          <w:rtl w:val="0"/>
          <w:szCs w:val="21"/>
        </w:rPr>
        <w:t>Government cooperation, FMS, acquisition, programme management and strategic leadership, culminating in an assessed impact-project briefing.</w:t>
      </w:r>
    </w:p>
    <w:p>
      <w:pPr>
        <w:bidi w:val="0"/>
        <w:jc w:val="start"/>
      </w:pPr>
      <w:r>
        <w:rPr>
          <w:rFonts w:ascii="Arial" w:hAnsi="Arial" w:cs="Arial"/>
          <w:sz w:val="21"/>
          <w:rtl w:val="0"/>
          <w:szCs w:val="21"/>
        </w:rPr>
        <w:t>Proposed hosts and tracks: DSCA and DSCU؛ Naval Postgraduate School — defence resource management track؛ Government and security cooperation / FMS track؛ Acquisition, programme management and contracts track؛ War colleges and strategic-leadership programmes؛ Practical attachment with an executive entity or programme office</w:t>
      </w:r>
    </w:p>
    <w:p>
      <w:pPr>
        <w:bidi w:val="0"/>
        <w:jc w:val="start"/>
      </w:pPr>
      <w:r>
        <w:rPr>
          <w:rFonts w:ascii="Arial" w:hAnsi="Arial" w:cs="Arial"/>
          <w:sz w:val="21"/>
          <w:rtl w:val="0"/>
          <w:szCs w:val="21"/>
        </w:rPr>
        <w:t>Output: Executive impact-project brief and a 90-day implementation plan.</w:t>
      </w:r>
    </w:p>
    <w:p>
      <w:pPr>
        <w:bidi w:val="0"/>
        <w:jc w:val="start"/>
      </w:pPr>
      <w:r>
        <w:rPr>
          <w:rFonts w:ascii="Arial" w:hAnsi="Arial" w:cs="Arial"/>
          <w:sz w:val="21"/>
          <w:rtl w:val="0"/>
          <w:szCs w:val="21"/>
        </w:rPr>
        <w:t>US institutions and tracks are proposed, not agreed hosting arrangements. Duration, eligibility and locations must be coordinated to fit the four-week station.</w:t>
      </w:r>
    </w:p>
    <w:p>
      <w:pPr>
        <w:pStyle w:val="Heading1"/>
        <w:bidi w:val="0"/>
        <w:jc w:val="start"/>
      </w:pPr>
      <w:r>
        <w:rPr>
          <w:rFonts w:ascii="Arial" w:hAnsi="Arial" w:cs="Arial"/>
          <w:sz w:val="30"/>
          <w:rtl w:val="0"/>
          <w:szCs w:val="30"/>
        </w:rPr>
        <w:t>Appendix on the weekly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792"/>
        <w:gridCol w:w="3024"/>
        <w:gridCol w:w="6120"/>
      </w:tblGrid>
      <w:tr>
        <w:trPr>
          <w:tblHeader/>
        </w:trPr>
        <w:tc>
          <w:tcPr>
            <w:tcW w:type="dxa" w:w="792"/>
            <w:vAlign w:val="center"/>
            <w:shd w:fill="333333"/>
          </w:tcPr>
          <w:p>
            <w:pPr>
              <w:bidi w:val="0"/>
              <w:spacing w:after="40" w:line="269" w:lineRule="auto"/>
              <w:jc w:val="start"/>
            </w:pPr>
            <w:r>
              <w:rPr>
                <w:rFonts w:ascii="Arial" w:hAnsi="Arial" w:cs="Arial"/>
                <w:b/>
                <w:color w:val="FFFFFF"/>
                <w:sz w:val="18"/>
                <w:rtl w:val="0"/>
                <w:szCs w:val="18"/>
              </w:rPr>
              <w:t>Week</w:t>
            </w:r>
          </w:p>
        </w:tc>
        <w:tc>
          <w:tcPr>
            <w:tcW w:type="dxa" w:w="3024"/>
            <w:vAlign w:val="center"/>
            <w:shd w:fill="333333"/>
          </w:tcPr>
          <w:p>
            <w:pPr>
              <w:bidi w:val="0"/>
              <w:spacing w:after="40" w:line="269" w:lineRule="auto"/>
              <w:jc w:val="start"/>
            </w:pPr>
            <w:r>
              <w:rPr>
                <w:rFonts w:ascii="Arial" w:hAnsi="Arial" w:cs="Arial"/>
                <w:b/>
                <w:color w:val="FFFFFF"/>
                <w:sz w:val="18"/>
                <w:rtl w:val="0"/>
                <w:szCs w:val="18"/>
              </w:rPr>
              <w:t>Theme</w:t>
            </w:r>
          </w:p>
        </w:tc>
        <w:tc>
          <w:tcPr>
            <w:tcW w:type="dxa" w:w="6120"/>
            <w:vAlign w:val="center"/>
            <w:shd w:fill="333333"/>
          </w:tcPr>
          <w:p>
            <w:pPr>
              <w:bidi w:val="0"/>
              <w:spacing w:after="40" w:line="269" w:lineRule="auto"/>
              <w:jc w:val="start"/>
            </w:pPr>
            <w:r>
              <w:rPr>
                <w:rFonts w:ascii="Arial" w:hAnsi="Arial" w:cs="Arial"/>
                <w:b/>
                <w:color w:val="FFFFFF"/>
                <w:sz w:val="18"/>
                <w:rtl w:val="0"/>
                <w:szCs w:val="18"/>
              </w:rPr>
              <w:t>Expected output</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1</w:t>
            </w:r>
          </w:p>
        </w:tc>
        <w:tc>
          <w:tcPr>
            <w:tcW w:type="dxa" w:w="3024"/>
            <w:vAlign w:val="center"/>
            <w:shd w:fill="FFFFFF"/>
          </w:tcPr>
          <w:p>
            <w:pPr>
              <w:bidi w:val="0"/>
              <w:spacing w:after="40" w:line="269" w:lineRule="auto"/>
              <w:jc w:val="start"/>
            </w:pPr>
            <w:r>
              <w:rPr>
                <w:rFonts w:ascii="Arial" w:hAnsi="Arial" w:cs="Arial"/>
                <w:sz w:val="18"/>
                <w:rtl w:val="0"/>
                <w:szCs w:val="18"/>
              </w:rPr>
              <w:t>MOD as a system</w:t>
            </w:r>
          </w:p>
        </w:tc>
        <w:tc>
          <w:tcPr>
            <w:tcW w:type="dxa" w:w="6120"/>
            <w:vAlign w:val="center"/>
            <w:shd w:fill="FFFFFF"/>
          </w:tcPr>
          <w:p>
            <w:pPr>
              <w:bidi w:val="0"/>
              <w:spacing w:after="40" w:line="269" w:lineRule="auto"/>
              <w:jc w:val="start"/>
            </w:pPr>
            <w:r>
              <w:rPr>
                <w:rFonts w:ascii="Arial" w:hAnsi="Arial" w:cs="Arial"/>
                <w:sz w:val="18"/>
                <w:rtl w:val="0"/>
                <w:szCs w:val="18"/>
              </w:rPr>
              <w:t>Map the relationship between strategy, operations, resources and governance.</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2</w:t>
            </w:r>
          </w:p>
        </w:tc>
        <w:tc>
          <w:tcPr>
            <w:tcW w:type="dxa" w:w="3024"/>
            <w:vAlign w:val="center"/>
            <w:shd w:fill="F5F5F5"/>
          </w:tcPr>
          <w:p>
            <w:pPr>
              <w:bidi w:val="0"/>
              <w:spacing w:after="40" w:line="269" w:lineRule="auto"/>
              <w:jc w:val="start"/>
            </w:pPr>
            <w:r>
              <w:rPr>
                <w:rFonts w:ascii="Arial" w:hAnsi="Arial" w:cs="Arial"/>
                <w:sz w:val="18"/>
                <w:rtl w:val="0"/>
                <w:szCs w:val="18"/>
              </w:rPr>
              <w:t>From need to capability</w:t>
            </w:r>
          </w:p>
        </w:tc>
        <w:tc>
          <w:tcPr>
            <w:tcW w:type="dxa" w:w="6120"/>
            <w:vAlign w:val="center"/>
            <w:shd w:fill="F5F5F5"/>
          </w:tcPr>
          <w:p>
            <w:pPr>
              <w:bidi w:val="0"/>
              <w:spacing w:after="40" w:line="269" w:lineRule="auto"/>
              <w:jc w:val="start"/>
            </w:pPr>
            <w:r>
              <w:rPr>
                <w:rFonts w:ascii="Arial" w:hAnsi="Arial" w:cs="Arial"/>
                <w:sz w:val="18"/>
                <w:rtl w:val="0"/>
                <w:szCs w:val="18"/>
              </w:rPr>
              <w:t>Trace a fictional requirement through planning, acquisition and support.</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3</w:t>
            </w:r>
          </w:p>
        </w:tc>
        <w:tc>
          <w:tcPr>
            <w:tcW w:type="dxa" w:w="3024"/>
            <w:vAlign w:val="center"/>
            <w:shd w:fill="FFFFFF"/>
          </w:tcPr>
          <w:p>
            <w:pPr>
              <w:bidi w:val="0"/>
              <w:spacing w:after="40" w:line="269" w:lineRule="auto"/>
              <w:jc w:val="start"/>
            </w:pPr>
            <w:r>
              <w:rPr>
                <w:rFonts w:ascii="Arial" w:hAnsi="Arial" w:cs="Arial"/>
                <w:sz w:val="18"/>
                <w:rtl w:val="0"/>
                <w:szCs w:val="18"/>
              </w:rPr>
              <w:t>Innovation and baseline</w:t>
            </w:r>
          </w:p>
        </w:tc>
        <w:tc>
          <w:tcPr>
            <w:tcW w:type="dxa" w:w="6120"/>
            <w:vAlign w:val="center"/>
            <w:shd w:fill="FFFFFF"/>
          </w:tcPr>
          <w:p>
            <w:pPr>
              <w:bidi w:val="0"/>
              <w:spacing w:after="40" w:line="269" w:lineRule="auto"/>
              <w:jc w:val="start"/>
            </w:pPr>
            <w:r>
              <w:rPr>
                <w:rFonts w:ascii="Arial" w:hAnsi="Arial" w:cs="Arial"/>
                <w:sz w:val="18"/>
                <w:rtl w:val="0"/>
                <w:szCs w:val="18"/>
              </w:rPr>
              <w:t>Define the impact challenge and record the baseline and development plan.</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4</w:t>
            </w:r>
          </w:p>
        </w:tc>
        <w:tc>
          <w:tcPr>
            <w:tcW w:type="dxa" w:w="3024"/>
            <w:vAlign w:val="center"/>
            <w:shd w:fill="F5F5F5"/>
          </w:tcPr>
          <w:p>
            <w:pPr>
              <w:bidi w:val="0"/>
              <w:spacing w:after="40" w:line="269" w:lineRule="auto"/>
              <w:jc w:val="start"/>
            </w:pPr>
            <w:r>
              <w:rPr>
                <w:rFonts w:ascii="Arial" w:hAnsi="Arial" w:cs="Arial"/>
                <w:sz w:val="18"/>
                <w:rtl w:val="0"/>
                <w:szCs w:val="18"/>
              </w:rPr>
              <w:t>Leadership and service</w:t>
            </w:r>
          </w:p>
        </w:tc>
        <w:tc>
          <w:tcPr>
            <w:tcW w:type="dxa" w:w="6120"/>
            <w:vAlign w:val="center"/>
            <w:shd w:fill="F5F5F5"/>
          </w:tcPr>
          <w:p>
            <w:pPr>
              <w:bidi w:val="0"/>
              <w:spacing w:after="40" w:line="269" w:lineRule="auto"/>
              <w:jc w:val="start"/>
            </w:pPr>
            <w:r>
              <w:rPr>
                <w:rFonts w:ascii="Arial" w:hAnsi="Arial" w:cs="Arial"/>
                <w:sz w:val="18"/>
                <w:rtl w:val="0"/>
                <w:szCs w:val="18"/>
              </w:rPr>
              <w:t>Analyse a leader’s responsibilities and team behaviour in an institutional situation.</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5</w:t>
            </w:r>
          </w:p>
        </w:tc>
        <w:tc>
          <w:tcPr>
            <w:tcW w:type="dxa" w:w="3024"/>
            <w:vAlign w:val="center"/>
            <w:shd w:fill="FFFFFF"/>
          </w:tcPr>
          <w:p>
            <w:pPr>
              <w:bidi w:val="0"/>
              <w:spacing w:after="40" w:line="269" w:lineRule="auto"/>
              <w:jc w:val="start"/>
            </w:pPr>
            <w:r>
              <w:rPr>
                <w:rFonts w:ascii="Arial" w:hAnsi="Arial" w:cs="Arial"/>
                <w:sz w:val="18"/>
                <w:rtl w:val="0"/>
                <w:szCs w:val="18"/>
              </w:rPr>
              <w:t>Teams and trust</w:t>
            </w:r>
          </w:p>
        </w:tc>
        <w:tc>
          <w:tcPr>
            <w:tcW w:type="dxa" w:w="6120"/>
            <w:vAlign w:val="center"/>
            <w:shd w:fill="FFFFFF"/>
          </w:tcPr>
          <w:p>
            <w:pPr>
              <w:bidi w:val="0"/>
              <w:spacing w:after="40" w:line="269" w:lineRule="auto"/>
              <w:jc w:val="start"/>
            </w:pPr>
            <w:r>
              <w:rPr>
                <w:rFonts w:ascii="Arial" w:hAnsi="Arial" w:cs="Arial"/>
                <w:sz w:val="18"/>
                <w:rtl w:val="0"/>
                <w:szCs w:val="18"/>
              </w:rPr>
              <w:t>Lead a diverse team and receive structured feedback.</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6</w:t>
            </w:r>
          </w:p>
        </w:tc>
        <w:tc>
          <w:tcPr>
            <w:tcW w:type="dxa" w:w="3024"/>
            <w:vAlign w:val="center"/>
            <w:shd w:fill="F5F5F5"/>
          </w:tcPr>
          <w:p>
            <w:pPr>
              <w:bidi w:val="0"/>
              <w:spacing w:after="40" w:line="269" w:lineRule="auto"/>
              <w:jc w:val="start"/>
            </w:pPr>
            <w:r>
              <w:rPr>
                <w:rFonts w:ascii="Arial" w:hAnsi="Arial" w:cs="Arial"/>
                <w:sz w:val="18"/>
                <w:rtl w:val="0"/>
                <w:szCs w:val="18"/>
              </w:rPr>
              <w:t>Judgement under uncertainty</w:t>
            </w:r>
          </w:p>
        </w:tc>
        <w:tc>
          <w:tcPr>
            <w:tcW w:type="dxa" w:w="6120"/>
            <w:vAlign w:val="center"/>
            <w:shd w:fill="F5F5F5"/>
          </w:tcPr>
          <w:p>
            <w:pPr>
              <w:bidi w:val="0"/>
              <w:spacing w:after="40" w:line="269" w:lineRule="auto"/>
              <w:jc w:val="start"/>
            </w:pPr>
            <w:r>
              <w:rPr>
                <w:rFonts w:ascii="Arial" w:hAnsi="Arial" w:cs="Arial"/>
                <w:sz w:val="18"/>
                <w:rtl w:val="0"/>
                <w:szCs w:val="18"/>
              </w:rPr>
              <w:t>Present clear options using incomplete information and explicit assumptions.</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7</w:t>
            </w:r>
          </w:p>
        </w:tc>
        <w:tc>
          <w:tcPr>
            <w:tcW w:type="dxa" w:w="3024"/>
            <w:vAlign w:val="center"/>
            <w:shd w:fill="FFFFFF"/>
          </w:tcPr>
          <w:p>
            <w:pPr>
              <w:bidi w:val="0"/>
              <w:spacing w:after="40" w:line="269" w:lineRule="auto"/>
              <w:jc w:val="start"/>
            </w:pPr>
            <w:r>
              <w:rPr>
                <w:rFonts w:ascii="Arial" w:hAnsi="Arial" w:cs="Arial"/>
                <w:sz w:val="18"/>
                <w:rtl w:val="0"/>
                <w:szCs w:val="18"/>
              </w:rPr>
              <w:t>Readiness and technical capability</w:t>
            </w:r>
          </w:p>
        </w:tc>
        <w:tc>
          <w:tcPr>
            <w:tcW w:type="dxa" w:w="6120"/>
            <w:vAlign w:val="center"/>
            <w:shd w:fill="FFFFFF"/>
          </w:tcPr>
          <w:p>
            <w:pPr>
              <w:bidi w:val="0"/>
              <w:spacing w:after="40" w:line="269" w:lineRule="auto"/>
              <w:jc w:val="start"/>
            </w:pPr>
            <w:r>
              <w:rPr>
                <w:rFonts w:ascii="Arial" w:hAnsi="Arial" w:cs="Arial"/>
                <w:sz w:val="18"/>
                <w:rtl w:val="0"/>
                <w:szCs w:val="18"/>
              </w:rPr>
              <w:t>Connect technical qualification, safety and support to readiness needs.</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8</w:t>
            </w:r>
          </w:p>
        </w:tc>
        <w:tc>
          <w:tcPr>
            <w:tcW w:type="dxa" w:w="3024"/>
            <w:vAlign w:val="center"/>
            <w:shd w:fill="F5F5F5"/>
          </w:tcPr>
          <w:p>
            <w:pPr>
              <w:bidi w:val="0"/>
              <w:spacing w:after="40" w:line="269" w:lineRule="auto"/>
              <w:jc w:val="start"/>
            </w:pPr>
            <w:r>
              <w:rPr>
                <w:rFonts w:ascii="Arial" w:hAnsi="Arial" w:cs="Arial"/>
                <w:sz w:val="18"/>
                <w:rtl w:val="0"/>
                <w:szCs w:val="18"/>
              </w:rPr>
              <w:t>Resources and life cycle</w:t>
            </w:r>
          </w:p>
        </w:tc>
        <w:tc>
          <w:tcPr>
            <w:tcW w:type="dxa" w:w="6120"/>
            <w:vAlign w:val="center"/>
            <w:shd w:fill="F5F5F5"/>
          </w:tcPr>
          <w:p>
            <w:pPr>
              <w:bidi w:val="0"/>
              <w:spacing w:after="40" w:line="269" w:lineRule="auto"/>
              <w:jc w:val="start"/>
            </w:pPr>
            <w:r>
              <w:rPr>
                <w:rFonts w:ascii="Arial" w:hAnsi="Arial" w:cs="Arial"/>
                <w:sz w:val="18"/>
                <w:rtl w:val="0"/>
                <w:szCs w:val="18"/>
              </w:rPr>
              <w:t>Compare alternatives within a resource constraint using life-cycle cost.</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9</w:t>
            </w:r>
          </w:p>
        </w:tc>
        <w:tc>
          <w:tcPr>
            <w:tcW w:type="dxa" w:w="3024"/>
            <w:vAlign w:val="center"/>
            <w:shd w:fill="FFFFFF"/>
          </w:tcPr>
          <w:p>
            <w:pPr>
              <w:bidi w:val="0"/>
              <w:spacing w:after="40" w:line="269" w:lineRule="auto"/>
              <w:jc w:val="start"/>
            </w:pPr>
            <w:r>
              <w:rPr>
                <w:rFonts w:ascii="Arial" w:hAnsi="Arial" w:cs="Arial"/>
                <w:sz w:val="18"/>
                <w:rtl w:val="0"/>
                <w:szCs w:val="18"/>
              </w:rPr>
              <w:t>Midpoint review</w:t>
            </w:r>
          </w:p>
        </w:tc>
        <w:tc>
          <w:tcPr>
            <w:tcW w:type="dxa" w:w="6120"/>
            <w:vAlign w:val="center"/>
            <w:shd w:fill="FFFFFF"/>
          </w:tcPr>
          <w:p>
            <w:pPr>
              <w:bidi w:val="0"/>
              <w:spacing w:after="40" w:line="269" w:lineRule="auto"/>
              <w:jc w:val="start"/>
            </w:pPr>
            <w:r>
              <w:rPr>
                <w:rFonts w:ascii="Arial" w:hAnsi="Arial" w:cs="Arial"/>
                <w:sz w:val="18"/>
                <w:rtl w:val="0"/>
                <w:szCs w:val="18"/>
              </w:rPr>
              <w:t>Review evidence and the development plan; discuss the challenge with the mentor.</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10</w:t>
            </w:r>
          </w:p>
        </w:tc>
        <w:tc>
          <w:tcPr>
            <w:tcW w:type="dxa" w:w="3024"/>
            <w:vAlign w:val="center"/>
            <w:shd w:fill="F5F5F5"/>
          </w:tcPr>
          <w:p>
            <w:pPr>
              <w:bidi w:val="0"/>
              <w:spacing w:after="40" w:line="269" w:lineRule="auto"/>
              <w:jc w:val="start"/>
            </w:pPr>
            <w:r>
              <w:rPr>
                <w:rFonts w:ascii="Arial" w:hAnsi="Arial" w:cs="Arial"/>
                <w:sz w:val="18"/>
                <w:rtl w:val="0"/>
                <w:szCs w:val="18"/>
              </w:rPr>
              <w:t>Partnerships and industrial strategy</w:t>
            </w:r>
          </w:p>
        </w:tc>
        <w:tc>
          <w:tcPr>
            <w:tcW w:type="dxa" w:w="6120"/>
            <w:vAlign w:val="center"/>
            <w:shd w:fill="F5F5F5"/>
          </w:tcPr>
          <w:p>
            <w:pPr>
              <w:bidi w:val="0"/>
              <w:spacing w:after="40" w:line="269" w:lineRule="auto"/>
              <w:jc w:val="start"/>
            </w:pPr>
            <w:r>
              <w:rPr>
                <w:rFonts w:ascii="Arial" w:hAnsi="Arial" w:cs="Arial"/>
                <w:sz w:val="18"/>
                <w:rtl w:val="0"/>
                <w:szCs w:val="18"/>
              </w:rPr>
              <w:t>Identify partner interests and the conditions for a successful institutional relationship.</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11</w:t>
            </w:r>
          </w:p>
        </w:tc>
        <w:tc>
          <w:tcPr>
            <w:tcW w:type="dxa" w:w="3024"/>
            <w:vAlign w:val="center"/>
            <w:shd w:fill="FFFFFF"/>
          </w:tcPr>
          <w:p>
            <w:pPr>
              <w:bidi w:val="0"/>
              <w:spacing w:after="40" w:line="269" w:lineRule="auto"/>
              <w:jc w:val="start"/>
            </w:pPr>
            <w:r>
              <w:rPr>
                <w:rFonts w:ascii="Arial" w:hAnsi="Arial" w:cs="Arial"/>
                <w:sz w:val="18"/>
                <w:rtl w:val="0"/>
                <w:szCs w:val="18"/>
              </w:rPr>
              <w:t>Engineering and integration</w:t>
            </w:r>
          </w:p>
        </w:tc>
        <w:tc>
          <w:tcPr>
            <w:tcW w:type="dxa" w:w="6120"/>
            <w:vAlign w:val="center"/>
            <w:shd w:fill="FFFFFF"/>
          </w:tcPr>
          <w:p>
            <w:pPr>
              <w:bidi w:val="0"/>
              <w:spacing w:after="40" w:line="269" w:lineRule="auto"/>
              <w:jc w:val="start"/>
            </w:pPr>
            <w:r>
              <w:rPr>
                <w:rFonts w:ascii="Arial" w:hAnsi="Arial" w:cs="Arial"/>
                <w:sz w:val="18"/>
                <w:rtl w:val="0"/>
                <w:szCs w:val="18"/>
              </w:rPr>
              <w:t>Analyse system interfaces, dependencies and integration risks.</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12</w:t>
            </w:r>
          </w:p>
        </w:tc>
        <w:tc>
          <w:tcPr>
            <w:tcW w:type="dxa" w:w="3024"/>
            <w:vAlign w:val="center"/>
            <w:shd w:fill="F5F5F5"/>
          </w:tcPr>
          <w:p>
            <w:pPr>
              <w:bidi w:val="0"/>
              <w:spacing w:after="40" w:line="269" w:lineRule="auto"/>
              <w:jc w:val="start"/>
            </w:pPr>
            <w:r>
              <w:rPr>
                <w:rFonts w:ascii="Arial" w:hAnsi="Arial" w:cs="Arial"/>
                <w:sz w:val="18"/>
                <w:rtl w:val="0"/>
                <w:szCs w:val="18"/>
              </w:rPr>
              <w:t>Knowledge transfer and governance</w:t>
            </w:r>
          </w:p>
        </w:tc>
        <w:tc>
          <w:tcPr>
            <w:tcW w:type="dxa" w:w="6120"/>
            <w:vAlign w:val="center"/>
            <w:shd w:fill="F5F5F5"/>
          </w:tcPr>
          <w:p>
            <w:pPr>
              <w:bidi w:val="0"/>
              <w:spacing w:after="40" w:line="269" w:lineRule="auto"/>
              <w:jc w:val="start"/>
            </w:pPr>
            <w:r>
              <w:rPr>
                <w:rFonts w:ascii="Arial" w:hAnsi="Arial" w:cs="Arial"/>
                <w:sz w:val="18"/>
                <w:rtl w:val="0"/>
                <w:szCs w:val="18"/>
              </w:rPr>
              <w:t>Present a partnership case distinguishing learning and knowledge transfer from purchasing a product.</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13</w:t>
            </w:r>
          </w:p>
        </w:tc>
        <w:tc>
          <w:tcPr>
            <w:tcW w:type="dxa" w:w="3024"/>
            <w:vAlign w:val="center"/>
            <w:shd w:fill="FFFFFF"/>
          </w:tcPr>
          <w:p>
            <w:pPr>
              <w:bidi w:val="0"/>
              <w:spacing w:after="40" w:line="269" w:lineRule="auto"/>
              <w:jc w:val="start"/>
            </w:pPr>
            <w:r>
              <w:rPr>
                <w:rFonts w:ascii="Arial" w:hAnsi="Arial" w:cs="Arial"/>
                <w:sz w:val="18"/>
                <w:rtl w:val="0"/>
                <w:szCs w:val="18"/>
              </w:rPr>
              <w:t>Government cooperation and FMS</w:t>
            </w:r>
          </w:p>
        </w:tc>
        <w:tc>
          <w:tcPr>
            <w:tcW w:type="dxa" w:w="6120"/>
            <w:vAlign w:val="center"/>
            <w:shd w:fill="FFFFFF"/>
          </w:tcPr>
          <w:p>
            <w:pPr>
              <w:bidi w:val="0"/>
              <w:spacing w:after="40" w:line="269" w:lineRule="auto"/>
              <w:jc w:val="start"/>
            </w:pPr>
            <w:r>
              <w:rPr>
                <w:rFonts w:ascii="Arial" w:hAnsi="Arial" w:cs="Arial"/>
                <w:sz w:val="18"/>
                <w:rtl w:val="0"/>
                <w:szCs w:val="18"/>
              </w:rPr>
              <w:t>Trace roles and decisions in an educational government-cooperation case.</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14</w:t>
            </w:r>
          </w:p>
        </w:tc>
        <w:tc>
          <w:tcPr>
            <w:tcW w:type="dxa" w:w="3024"/>
            <w:vAlign w:val="center"/>
            <w:shd w:fill="F5F5F5"/>
          </w:tcPr>
          <w:p>
            <w:pPr>
              <w:bidi w:val="0"/>
              <w:spacing w:after="40" w:line="269" w:lineRule="auto"/>
              <w:jc w:val="start"/>
            </w:pPr>
            <w:r>
              <w:rPr>
                <w:rFonts w:ascii="Arial" w:hAnsi="Arial" w:cs="Arial"/>
                <w:sz w:val="18"/>
                <w:rtl w:val="0"/>
                <w:szCs w:val="18"/>
              </w:rPr>
              <w:t>Acquisition and programme management</w:t>
            </w:r>
          </w:p>
        </w:tc>
        <w:tc>
          <w:tcPr>
            <w:tcW w:type="dxa" w:w="6120"/>
            <w:vAlign w:val="center"/>
            <w:shd w:fill="F5F5F5"/>
          </w:tcPr>
          <w:p>
            <w:pPr>
              <w:bidi w:val="0"/>
              <w:spacing w:after="40" w:line="269" w:lineRule="auto"/>
              <w:jc w:val="start"/>
            </w:pPr>
            <w:r>
              <w:rPr>
                <w:rFonts w:ascii="Arial" w:hAnsi="Arial" w:cs="Arial"/>
                <w:sz w:val="18"/>
                <w:rtl w:val="0"/>
                <w:szCs w:val="18"/>
              </w:rPr>
              <w:t>Review requirements, schedule, cost, risk and governance.</w:t>
            </w:r>
          </w:p>
        </w:tc>
      </w:tr>
      <w:tr>
        <w:trPr>
          <w:cantSplit/>
        </w:trPr>
        <w:tc>
          <w:tcPr>
            <w:tcW w:type="dxa" w:w="792"/>
            <w:vAlign w:val="center"/>
            <w:shd w:fill="FFFFFF"/>
          </w:tcPr>
          <w:p>
            <w:pPr>
              <w:bidi w:val="0"/>
              <w:spacing w:after="40" w:line="269" w:lineRule="auto"/>
              <w:jc w:val="start"/>
            </w:pPr>
            <w:r>
              <w:rPr>
                <w:rFonts w:ascii="Arial" w:hAnsi="Arial" w:cs="Arial"/>
                <w:sz w:val="18"/>
                <w:rtl w:val="0"/>
                <w:szCs w:val="18"/>
              </w:rPr>
              <w:t>15</w:t>
            </w:r>
          </w:p>
        </w:tc>
        <w:tc>
          <w:tcPr>
            <w:tcW w:type="dxa" w:w="3024"/>
            <w:vAlign w:val="center"/>
            <w:shd w:fill="FFFFFF"/>
          </w:tcPr>
          <w:p>
            <w:pPr>
              <w:bidi w:val="0"/>
              <w:spacing w:after="40" w:line="269" w:lineRule="auto"/>
              <w:jc w:val="start"/>
            </w:pPr>
            <w:r>
              <w:rPr>
                <w:rFonts w:ascii="Arial" w:hAnsi="Arial" w:cs="Arial"/>
                <w:sz w:val="18"/>
                <w:rtl w:val="0"/>
                <w:szCs w:val="18"/>
              </w:rPr>
              <w:t>Geopolitics, policy and technology</w:t>
            </w:r>
          </w:p>
        </w:tc>
        <w:tc>
          <w:tcPr>
            <w:tcW w:type="dxa" w:w="6120"/>
            <w:vAlign w:val="center"/>
            <w:shd w:fill="FFFFFF"/>
          </w:tcPr>
          <w:p>
            <w:pPr>
              <w:bidi w:val="0"/>
              <w:spacing w:after="40" w:line="269" w:lineRule="auto"/>
              <w:jc w:val="start"/>
            </w:pPr>
            <w:r>
              <w:rPr>
                <w:rFonts w:ascii="Arial" w:hAnsi="Arial" w:cs="Arial"/>
                <w:sz w:val="18"/>
                <w:rtl w:val="0"/>
                <w:szCs w:val="18"/>
              </w:rPr>
              <w:t>Test how an external change affects institutional and technology choices.</w:t>
            </w:r>
          </w:p>
        </w:tc>
      </w:tr>
      <w:tr>
        <w:trPr>
          <w:cantSplit/>
        </w:trPr>
        <w:tc>
          <w:tcPr>
            <w:tcW w:type="dxa" w:w="792"/>
            <w:vAlign w:val="center"/>
            <w:shd w:fill="F5F5F5"/>
          </w:tcPr>
          <w:p>
            <w:pPr>
              <w:bidi w:val="0"/>
              <w:spacing w:after="40" w:line="269" w:lineRule="auto"/>
              <w:jc w:val="start"/>
            </w:pPr>
            <w:r>
              <w:rPr>
                <w:rFonts w:ascii="Arial" w:hAnsi="Arial" w:cs="Arial"/>
                <w:sz w:val="18"/>
                <w:rtl w:val="0"/>
                <w:szCs w:val="18"/>
              </w:rPr>
              <w:t>16</w:t>
            </w:r>
          </w:p>
        </w:tc>
        <w:tc>
          <w:tcPr>
            <w:tcW w:type="dxa" w:w="3024"/>
            <w:vAlign w:val="center"/>
            <w:shd w:fill="F5F5F5"/>
          </w:tcPr>
          <w:p>
            <w:pPr>
              <w:bidi w:val="0"/>
              <w:spacing w:after="40" w:line="269" w:lineRule="auto"/>
              <w:jc w:val="start"/>
            </w:pPr>
            <w:r>
              <w:rPr>
                <w:rFonts w:ascii="Arial" w:hAnsi="Arial" w:cs="Arial"/>
                <w:sz w:val="18"/>
                <w:rtl w:val="0"/>
                <w:szCs w:val="18"/>
              </w:rPr>
              <w:t>Impact project and final assessment</w:t>
            </w:r>
          </w:p>
        </w:tc>
        <w:tc>
          <w:tcPr>
            <w:tcW w:type="dxa" w:w="6120"/>
            <w:vAlign w:val="center"/>
            <w:shd w:fill="F5F5F5"/>
          </w:tcPr>
          <w:p>
            <w:pPr>
              <w:bidi w:val="0"/>
              <w:spacing w:after="40" w:line="269" w:lineRule="auto"/>
              <w:jc w:val="start"/>
            </w:pPr>
            <w:r>
              <w:rPr>
                <w:rFonts w:ascii="Arial" w:hAnsi="Arial" w:cs="Arial"/>
                <w:sz w:val="18"/>
                <w:rtl w:val="0"/>
                <w:szCs w:val="18"/>
              </w:rPr>
              <w:t>Defend the project and implementation plan before a panel and record follow-up objectives.</w:t>
            </w:r>
          </w:p>
        </w:tc>
      </w:tr>
    </w:tbl>
    <w:p>
      <w:pPr>
        <w:spacing w:after="60"/>
      </w:pPr>
    </w:p>
    <w:p>
      <w:pPr>
        <w:pStyle w:val="Heading1"/>
        <w:bidi w:val="0"/>
        <w:jc w:val="start"/>
      </w:pPr>
      <w:r>
        <w:rPr>
          <w:rFonts w:ascii="Arial" w:hAnsi="Arial" w:cs="Arial"/>
          <w:sz w:val="30"/>
          <w:rtl w:val="0"/>
          <w:szCs w:val="30"/>
        </w:rPr>
        <w:t>Appendix on competencies and evidence</w:t>
      </w:r>
    </w:p>
    <w:p>
      <w:pPr>
        <w:bidi w:val="0"/>
        <w:jc w:val="start"/>
      </w:pPr>
      <w:r>
        <w:rPr>
          <w:rFonts w:ascii="Arial" w:hAnsi="Arial" w:cs="Arial"/>
          <w:sz w:val="21"/>
          <w:rtl w:val="0"/>
          <w:szCs w:val="21"/>
        </w:rPr>
        <w:t>The following weights are proposed for calibration and total 100 percent. Assessors review evidence and behaviour before forming a judgement.</w:t>
      </w:r>
    </w:p>
    <w:p>
      <w:pPr>
        <w:pStyle w:val="Heading2"/>
        <w:bidi w:val="0"/>
        <w:jc w:val="start"/>
      </w:pPr>
      <w:r>
        <w:rPr>
          <w:rFonts w:ascii="Arial" w:hAnsi="Arial" w:cs="Arial"/>
          <w:sz w:val="24"/>
          <w:rtl w:val="0"/>
          <w:szCs w:val="24"/>
        </w:rPr>
        <w:t>Strategic judgement</w:t>
      </w:r>
    </w:p>
    <w:p>
      <w:pPr>
        <w:keepNext/>
        <w:bidi w:val="0"/>
        <w:jc w:val="start"/>
      </w:pPr>
      <w:r>
        <w:rPr>
          <w:rFonts w:ascii="Arial" w:hAnsi="Arial" w:cs="Arial"/>
          <w:sz w:val="21"/>
          <w:rtl w:val="0"/>
          <w:szCs w:val="21"/>
        </w:rPr>
        <w:t>Proposed weight 20%</w:t>
      </w:r>
    </w:p>
    <w:p>
      <w:pPr>
        <w:bidi w:val="0"/>
        <w:jc w:val="start"/>
      </w:pPr>
      <w:r>
        <w:rPr>
          <w:rFonts w:ascii="Arial" w:hAnsi="Arial" w:cs="Arial"/>
          <w:sz w:val="21"/>
          <w:rtl w:val="0"/>
          <w:szCs w:val="21"/>
        </w:rPr>
        <w:t>Interpret geopolitical change and connect choices to national and institutional priorities. An options brief stating assumptions, risks and decision consequences.</w:t>
      </w:r>
    </w:p>
    <w:p>
      <w:pPr>
        <w:pStyle w:val="Heading2"/>
        <w:bidi w:val="0"/>
        <w:jc w:val="start"/>
      </w:pPr>
      <w:r>
        <w:rPr>
          <w:rFonts w:ascii="Arial" w:hAnsi="Arial" w:cs="Arial"/>
          <w:sz w:val="24"/>
          <w:rtl w:val="0"/>
          <w:szCs w:val="24"/>
        </w:rPr>
        <w:t>Institutional and systems understanding</w:t>
      </w:r>
    </w:p>
    <w:p>
      <w:pPr>
        <w:keepNext/>
        <w:bidi w:val="0"/>
        <w:jc w:val="start"/>
      </w:pPr>
      <w:r>
        <w:rPr>
          <w:rFonts w:ascii="Arial" w:hAnsi="Arial" w:cs="Arial"/>
          <w:sz w:val="21"/>
          <w:rtl w:val="0"/>
          <w:szCs w:val="21"/>
        </w:rPr>
        <w:t>Proposed weight 15%</w:t>
      </w:r>
    </w:p>
    <w:p>
      <w:pPr>
        <w:bidi w:val="0"/>
        <w:jc w:val="start"/>
      </w:pPr>
      <w:r>
        <w:rPr>
          <w:rFonts w:ascii="Arial" w:hAnsi="Arial" w:cs="Arial"/>
          <w:sz w:val="21"/>
          <w:rtl w:val="0"/>
          <w:szCs w:val="21"/>
        </w:rPr>
        <w:t>Understand the connections between operations, people, capabilities, resources and governance. An ecosystem map tracing a requirement to a readiness outcome.</w:t>
      </w:r>
    </w:p>
    <w:p>
      <w:pPr>
        <w:pStyle w:val="Heading2"/>
        <w:bidi w:val="0"/>
        <w:jc w:val="start"/>
      </w:pPr>
      <w:r>
        <w:rPr>
          <w:rFonts w:ascii="Arial" w:hAnsi="Arial" w:cs="Arial"/>
          <w:sz w:val="24"/>
          <w:rtl w:val="0"/>
          <w:szCs w:val="24"/>
        </w:rPr>
        <w:t>People leadership and knowledge transfer</w:t>
      </w:r>
    </w:p>
    <w:p>
      <w:pPr>
        <w:keepNext/>
        <w:bidi w:val="0"/>
        <w:jc w:val="start"/>
      </w:pPr>
      <w:r>
        <w:rPr>
          <w:rFonts w:ascii="Arial" w:hAnsi="Arial" w:cs="Arial"/>
          <w:sz w:val="21"/>
          <w:rtl w:val="0"/>
          <w:szCs w:val="21"/>
        </w:rPr>
        <w:t>Proposed weight 15%</w:t>
      </w:r>
    </w:p>
    <w:p>
      <w:pPr>
        <w:bidi w:val="0"/>
        <w:jc w:val="start"/>
      </w:pPr>
      <w:r>
        <w:rPr>
          <w:rFonts w:ascii="Arial" w:hAnsi="Arial" w:cs="Arial"/>
          <w:sz w:val="21"/>
          <w:rtl w:val="0"/>
          <w:szCs w:val="21"/>
        </w:rPr>
        <w:t>Build trust, lead diverse teams and learn from the experience of earlier generations. Multi-source behavioural observations and an individual development plan.</w:t>
      </w:r>
    </w:p>
    <w:p>
      <w:pPr>
        <w:pStyle w:val="Heading2"/>
        <w:bidi w:val="0"/>
        <w:jc w:val="start"/>
      </w:pPr>
      <w:r>
        <w:rPr>
          <w:rFonts w:ascii="Arial" w:hAnsi="Arial" w:cs="Arial"/>
          <w:sz w:val="24"/>
          <w:rtl w:val="0"/>
          <w:szCs w:val="24"/>
        </w:rPr>
        <w:t>Capabilities, acquisition and resources</w:t>
      </w:r>
    </w:p>
    <w:p>
      <w:pPr>
        <w:keepNext/>
        <w:bidi w:val="0"/>
        <w:jc w:val="start"/>
      </w:pPr>
      <w:r>
        <w:rPr>
          <w:rFonts w:ascii="Arial" w:hAnsi="Arial" w:cs="Arial"/>
          <w:sz w:val="21"/>
          <w:rtl w:val="0"/>
          <w:szCs w:val="21"/>
        </w:rPr>
        <w:t>Proposed weight 15%</w:t>
      </w:r>
    </w:p>
    <w:p>
      <w:pPr>
        <w:bidi w:val="0"/>
        <w:jc w:val="start"/>
      </w:pPr>
      <w:r>
        <w:rPr>
          <w:rFonts w:ascii="Arial" w:hAnsi="Arial" w:cs="Arial"/>
          <w:sz w:val="21"/>
          <w:rtl w:val="0"/>
          <w:szCs w:val="21"/>
        </w:rPr>
        <w:t>Balance requirements, cost, life cycle, integration and sustainment. A decision case comparing capability options and whole-life cost.</w:t>
      </w:r>
    </w:p>
    <w:p>
      <w:pPr>
        <w:pStyle w:val="Heading2"/>
        <w:bidi w:val="0"/>
        <w:jc w:val="start"/>
      </w:pPr>
      <w:r>
        <w:rPr>
          <w:rFonts w:ascii="Arial" w:hAnsi="Arial" w:cs="Arial"/>
          <w:sz w:val="24"/>
          <w:rtl w:val="0"/>
          <w:szCs w:val="24"/>
        </w:rPr>
        <w:t>Technology and responsible innovation</w:t>
      </w:r>
    </w:p>
    <w:p>
      <w:pPr>
        <w:keepNext/>
        <w:bidi w:val="0"/>
        <w:jc w:val="start"/>
      </w:pPr>
      <w:r>
        <w:rPr>
          <w:rFonts w:ascii="Arial" w:hAnsi="Arial" w:cs="Arial"/>
          <w:sz w:val="21"/>
          <w:rtl w:val="0"/>
          <w:szCs w:val="21"/>
        </w:rPr>
        <w:t>Proposed weight 10%</w:t>
      </w:r>
    </w:p>
    <w:p>
      <w:pPr>
        <w:bidi w:val="0"/>
        <w:jc w:val="start"/>
      </w:pPr>
      <w:r>
        <w:rPr>
          <w:rFonts w:ascii="Arial" w:hAnsi="Arial" w:cs="Arial"/>
          <w:sz w:val="21"/>
          <w:rtl w:val="0"/>
          <w:szCs w:val="21"/>
        </w:rPr>
        <w:t>Evaluate emerging technology value, limitations, data needs and integration. An experiment brief connecting the problem, hypothesis and success criteria.</w:t>
      </w:r>
    </w:p>
    <w:p>
      <w:pPr>
        <w:pStyle w:val="Heading2"/>
        <w:bidi w:val="0"/>
        <w:jc w:val="start"/>
      </w:pPr>
      <w:r>
        <w:rPr>
          <w:rFonts w:ascii="Arial" w:hAnsi="Arial" w:cs="Arial"/>
          <w:sz w:val="24"/>
          <w:rtl w:val="0"/>
          <w:szCs w:val="24"/>
        </w:rPr>
        <w:t>Governance, policy and ethics</w:t>
      </w:r>
    </w:p>
    <w:p>
      <w:pPr>
        <w:keepNext/>
        <w:bidi w:val="0"/>
        <w:jc w:val="start"/>
      </w:pPr>
      <w:r>
        <w:rPr>
          <w:rFonts w:ascii="Arial" w:hAnsi="Arial" w:cs="Arial"/>
          <w:sz w:val="21"/>
          <w:rtl w:val="0"/>
          <w:szCs w:val="21"/>
        </w:rPr>
        <w:t>Proposed weight 10%</w:t>
      </w:r>
    </w:p>
    <w:p>
      <w:pPr>
        <w:bidi w:val="0"/>
        <w:jc w:val="start"/>
      </w:pPr>
      <w:r>
        <w:rPr>
          <w:rFonts w:ascii="Arial" w:hAnsi="Arial" w:cs="Arial"/>
          <w:sz w:val="21"/>
          <w:rtl w:val="0"/>
          <w:szCs w:val="21"/>
        </w:rPr>
        <w:t>Distinguish authorities, obligations and risks, and record decisions with integrity. A memorandum identifying authority, controls and conflicts of interest.</w:t>
      </w:r>
    </w:p>
    <w:p>
      <w:pPr>
        <w:pStyle w:val="Heading2"/>
        <w:bidi w:val="0"/>
        <w:jc w:val="start"/>
      </w:pPr>
      <w:r>
        <w:rPr>
          <w:rFonts w:ascii="Arial" w:hAnsi="Arial" w:cs="Arial"/>
          <w:sz w:val="24"/>
          <w:rtl w:val="0"/>
          <w:szCs w:val="24"/>
        </w:rPr>
        <w:t>Partnerships and international engagement</w:t>
      </w:r>
    </w:p>
    <w:p>
      <w:pPr>
        <w:keepNext/>
        <w:bidi w:val="0"/>
        <w:jc w:val="start"/>
      </w:pPr>
      <w:r>
        <w:rPr>
          <w:rFonts w:ascii="Arial" w:hAnsi="Arial" w:cs="Arial"/>
          <w:sz w:val="21"/>
          <w:rtl w:val="0"/>
          <w:szCs w:val="21"/>
        </w:rPr>
        <w:t>Proposed weight 10%</w:t>
      </w:r>
    </w:p>
    <w:p>
      <w:pPr>
        <w:bidi w:val="0"/>
        <w:jc w:val="start"/>
      </w:pPr>
      <w:r>
        <w:rPr>
          <w:rFonts w:ascii="Arial" w:hAnsi="Arial" w:cs="Arial"/>
          <w:sz w:val="21"/>
          <w:rtl w:val="0"/>
          <w:szCs w:val="21"/>
        </w:rPr>
        <w:t>Communicate across cultures and understand government and industrial cooperation. A negotiation brief and stakeholder-interest map.</w:t>
      </w:r>
    </w:p>
    <w:p>
      <w:pPr>
        <w:pStyle w:val="Heading2"/>
        <w:bidi w:val="0"/>
        <w:jc w:val="start"/>
      </w:pPr>
      <w:r>
        <w:rPr>
          <w:rFonts w:ascii="Arial" w:hAnsi="Arial" w:cs="Arial"/>
          <w:sz w:val="24"/>
          <w:rtl w:val="0"/>
          <w:szCs w:val="24"/>
        </w:rPr>
        <w:t>Delivery and impact measurement</w:t>
      </w:r>
    </w:p>
    <w:p>
      <w:pPr>
        <w:keepNext/>
        <w:bidi w:val="0"/>
        <w:jc w:val="start"/>
      </w:pPr>
      <w:r>
        <w:rPr>
          <w:rFonts w:ascii="Arial" w:hAnsi="Arial" w:cs="Arial"/>
          <w:sz w:val="21"/>
          <w:rtl w:val="0"/>
          <w:szCs w:val="21"/>
        </w:rPr>
        <w:t>Proposed weight 5%</w:t>
      </w:r>
    </w:p>
    <w:p>
      <w:pPr>
        <w:bidi w:val="0"/>
        <w:jc w:val="start"/>
      </w:pPr>
      <w:r>
        <w:rPr>
          <w:rFonts w:ascii="Arial" w:hAnsi="Arial" w:cs="Arial"/>
          <w:sz w:val="21"/>
          <w:rtl w:val="0"/>
          <w:szCs w:val="21"/>
        </w:rPr>
        <w:t>Turn learning into an implementable, measurable institutional improvement. An impact project with an executive owner, baseline and follow-up reviews.</w:t>
      </w:r>
    </w:p>
    <w:p>
      <w:pPr>
        <w:pStyle w:val="Heading1"/>
        <w:bidi w:val="0"/>
        <w:jc w:val="start"/>
      </w:pPr>
      <w:r>
        <w:rPr>
          <w:rFonts w:ascii="Arial" w:hAnsi="Arial" w:cs="Arial"/>
          <w:sz w:val="30"/>
          <w:rtl w:val="0"/>
          <w:szCs w:val="30"/>
        </w:rPr>
        <w:t>References and limits of evidence</w:t>
      </w:r>
    </w:p>
    <w:p>
      <w:pPr>
        <w:bidi w:val="0"/>
        <w:jc w:val="start"/>
      </w:pPr>
      <w:r>
        <w:rPr>
          <w:rFonts w:ascii="Arial" w:hAnsi="Arial" w:cs="Arial"/>
          <w:sz w:val="21"/>
          <w:rtl w:val="0"/>
          <w:szCs w:val="21"/>
        </w:rPr>
        <w:t>References support elements of the design or the stated institutional remit. They do not establish initiative approval or hosting availability. Links reviewed on 25 September 2026.</w:t>
      </w:r>
    </w:p>
    <w:p>
      <w:pPr>
        <w:keepNext/>
        <w:bidi w:val="0"/>
        <w:jc w:val="start"/>
      </w:pPr>
      <w:r>
        <w:rPr>
          <w:rFonts w:ascii="Arial" w:hAnsi="Arial" w:cs="Arial"/>
          <w:sz w:val="21"/>
          <w:rtl w:val="0"/>
          <w:szCs w:val="21"/>
        </w:rPr>
        <w:t>[R1] Recommendation on Public Service Leadership and Capability — OECD</w:t>
      </w:r>
    </w:p>
    <w:p>
      <w:pPr>
        <w:keepNext/>
        <w:bidi w:val="0"/>
        <w:jc w:val="start"/>
      </w:pPr>
      <w:r>
        <w:rPr>
          <w:rFonts w:ascii="Arial" w:hAnsi="Arial" w:cs="Arial"/>
          <w:sz w:val="21"/>
          <w:rtl w:val="0"/>
          <w:szCs w:val="21"/>
        </w:rPr>
        <w:t>Reference for leadership development, learning and institutional culture; not SAMT accreditation.</w:t>
      </w:r>
    </w:p>
    <w:p>
      <w:pPr>
        <w:bidi w:val="0"/>
        <w:jc w:val="start"/>
      </w:pPr>
      <w:hyperlink r:id="rId9">
        <w:r>
          <w:rPr>
            <w:color w:val="333333"/>
            <w:u w:val="single"/>
          </w:rPr>
          <w:t>https://legalinstruments.oecd.org/public/doc/641/641.en.pdf</w:t>
        </w:r>
      </w:hyperlink>
    </w:p>
    <w:p>
      <w:pPr>
        <w:keepNext/>
        <w:bidi w:val="0"/>
        <w:jc w:val="start"/>
      </w:pPr>
      <w:r>
        <w:rPr>
          <w:rFonts w:ascii="Arial" w:hAnsi="Arial" w:cs="Arial"/>
          <w:sz w:val="21"/>
          <w:rtl w:val="0"/>
          <w:szCs w:val="21"/>
        </w:rPr>
        <w:t>[R2] Leadership training design, delivery, and implementation: A meta-analysis — Lacerenza et al. · Journal of Applied Psychology · 2017</w:t>
      </w:r>
    </w:p>
    <w:p>
      <w:pPr>
        <w:keepNext/>
        <w:bidi w:val="0"/>
        <w:jc w:val="start"/>
      </w:pPr>
      <w:r>
        <w:rPr>
          <w:rFonts w:ascii="Arial" w:hAnsi="Arial" w:cs="Arial"/>
          <w:sz w:val="21"/>
          <w:rtl w:val="0"/>
          <w:szCs w:val="21"/>
        </w:rPr>
        <w:t>Supports practice, feedback and needs assessment. It does not establish SAMT’s effectiveness before a pilot.</w:t>
      </w:r>
    </w:p>
    <w:p>
      <w:pPr>
        <w:bidi w:val="0"/>
        <w:jc w:val="start"/>
      </w:pPr>
      <w:hyperlink r:id="rId10">
        <w:r>
          <w:rPr>
            <w:color w:val="333333"/>
            <w:u w:val="single"/>
          </w:rPr>
          <w:t>https://pubmed.ncbi.nlm.nih.gov/28749153/</w:t>
        </w:r>
      </w:hyperlink>
    </w:p>
    <w:p>
      <w:pPr>
        <w:keepNext/>
        <w:bidi w:val="0"/>
        <w:jc w:val="start"/>
      </w:pPr>
      <w:r>
        <w:rPr>
          <w:rFonts w:ascii="Arial" w:hAnsi="Arial" w:cs="Arial"/>
          <w:sz w:val="21"/>
          <w:rtl w:val="0"/>
          <w:szCs w:val="21"/>
        </w:rPr>
        <w:t>[R3] Officer training at RMA Sandhurst — British Army</w:t>
      </w:r>
    </w:p>
    <w:p>
      <w:pPr>
        <w:keepNext/>
        <w:bidi w:val="0"/>
        <w:jc w:val="start"/>
      </w:pPr>
      <w:r>
        <w:rPr>
          <w:rFonts w:ascii="Arial" w:hAnsi="Arial" w:cs="Arial"/>
          <w:sz w:val="21"/>
          <w:rtl w:val="0"/>
          <w:szCs w:val="21"/>
        </w:rPr>
        <w:t>Institutional remit; a tailored pathway and civilian participation require a separate agreement.</w:t>
      </w:r>
    </w:p>
    <w:p>
      <w:pPr>
        <w:bidi w:val="0"/>
        <w:jc w:val="start"/>
      </w:pPr>
      <w:hyperlink r:id="rId11">
        <w:r>
          <w:rPr>
            <w:color w:val="333333"/>
            <w:u w:val="single"/>
          </w:rPr>
          <w:t>https://www.army.mod.uk/support-and-training/our-schools-and-colleges/rma-sandhurst/officer-training/</w:t>
        </w:r>
      </w:hyperlink>
    </w:p>
    <w:p>
      <w:pPr>
        <w:keepNext/>
        <w:bidi w:val="0"/>
        <w:jc w:val="start"/>
      </w:pPr>
      <w:r>
        <w:rPr>
          <w:rFonts w:ascii="Arial" w:hAnsi="Arial" w:cs="Arial"/>
          <w:sz w:val="21"/>
          <w:rtl w:val="0"/>
          <w:szCs w:val="21"/>
        </w:rPr>
        <w:t>[R4] RAF Cosford — Royal Air Force</w:t>
      </w:r>
    </w:p>
    <w:p>
      <w:pPr>
        <w:keepNext/>
        <w:bidi w:val="0"/>
        <w:jc w:val="start"/>
      </w:pPr>
      <w:r>
        <w:rPr>
          <w:rFonts w:ascii="Arial" w:hAnsi="Arial" w:cs="Arial"/>
          <w:sz w:val="21"/>
          <w:rtl w:val="0"/>
          <w:szCs w:val="21"/>
        </w:rPr>
        <w:t>The station’s technical-training role; does not establish SAMT seat availability.</w:t>
      </w:r>
    </w:p>
    <w:p>
      <w:pPr>
        <w:bidi w:val="0"/>
        <w:jc w:val="start"/>
      </w:pPr>
      <w:hyperlink r:id="rId12">
        <w:r>
          <w:rPr>
            <w:color w:val="333333"/>
            <w:u w:val="single"/>
          </w:rPr>
          <w:t>https://www.raf.mod.uk/our-organisation/stations/raf-cosford/</w:t>
        </w:r>
      </w:hyperlink>
    </w:p>
    <w:p>
      <w:pPr>
        <w:keepNext/>
        <w:bidi w:val="0"/>
        <w:jc w:val="start"/>
      </w:pPr>
      <w:r>
        <w:rPr>
          <w:rFonts w:ascii="Arial" w:hAnsi="Arial" w:cs="Arial"/>
          <w:sz w:val="21"/>
          <w:rtl w:val="0"/>
          <w:szCs w:val="21"/>
        </w:rPr>
        <w:t>[R5] Launch of EDGE Europe — EDGE · 11 June 2026</w:t>
      </w:r>
    </w:p>
    <w:p>
      <w:pPr>
        <w:keepNext/>
        <w:bidi w:val="0"/>
        <w:jc w:val="start"/>
      </w:pPr>
      <w:r>
        <w:rPr>
          <w:rFonts w:ascii="Arial" w:hAnsi="Arial" w:cs="Arial"/>
          <w:sz w:val="21"/>
          <w:rtl w:val="0"/>
          <w:szCs w:val="21"/>
        </w:rPr>
        <w:t>Public basis for Paris and Bordeaux tracks; hosting has not been agreed.</w:t>
      </w:r>
    </w:p>
    <w:p>
      <w:pPr>
        <w:bidi w:val="0"/>
        <w:jc w:val="start"/>
      </w:pPr>
      <w:hyperlink r:id="rId13">
        <w:r>
          <w:rPr>
            <w:color w:val="333333"/>
            <w:u w:val="single"/>
          </w:rPr>
          <w:t>https://edgegroup.ae/news/launch-edge-europe-edge-heralds-new-model-european-defence</w:t>
        </w:r>
      </w:hyperlink>
    </w:p>
    <w:p>
      <w:pPr>
        <w:keepNext/>
        <w:bidi w:val="0"/>
        <w:jc w:val="start"/>
      </w:pPr>
      <w:r>
        <w:rPr>
          <w:rFonts w:ascii="Arial" w:hAnsi="Arial" w:cs="Arial"/>
          <w:sz w:val="21"/>
          <w:rtl w:val="0"/>
          <w:szCs w:val="21"/>
        </w:rPr>
        <w:t>[R6] Security Assistance Management Manual — DSCA</w:t>
      </w:r>
    </w:p>
    <w:p>
      <w:pPr>
        <w:keepNext/>
        <w:bidi w:val="0"/>
        <w:jc w:val="start"/>
      </w:pPr>
      <w:r>
        <w:rPr>
          <w:rFonts w:ascii="Arial" w:hAnsi="Arial" w:cs="Arial"/>
          <w:sz w:val="21"/>
          <w:rtl w:val="0"/>
          <w:szCs w:val="21"/>
        </w:rPr>
        <w:t>Educational reference for security-cooperation and FMS roles and processes.</w:t>
      </w:r>
    </w:p>
    <w:p>
      <w:pPr>
        <w:bidi w:val="0"/>
        <w:jc w:val="start"/>
      </w:pPr>
      <w:hyperlink r:id="rId14">
        <w:r>
          <w:rPr>
            <w:color w:val="333333"/>
            <w:u w:val="single"/>
          </w:rPr>
          <w:t>https://samm.dsca.mil/listing/chapters</w:t>
        </w:r>
      </w:hyperlink>
    </w:p>
    <w:p>
      <w:pPr>
        <w:keepNext/>
        <w:bidi w:val="0"/>
        <w:jc w:val="start"/>
      </w:pPr>
      <w:r>
        <w:rPr>
          <w:rFonts w:ascii="Arial" w:hAnsi="Arial" w:cs="Arial"/>
          <w:sz w:val="21"/>
          <w:rtl w:val="0"/>
          <w:szCs w:val="21"/>
        </w:rPr>
        <w:t>[R7] About Technology Innovation Institute — TII</w:t>
      </w:r>
    </w:p>
    <w:p>
      <w:pPr>
        <w:keepNext/>
        <w:bidi w:val="0"/>
        <w:jc w:val="start"/>
      </w:pPr>
      <w:r>
        <w:rPr>
          <w:rFonts w:ascii="Arial" w:hAnsi="Arial" w:cs="Arial"/>
          <w:sz w:val="21"/>
          <w:rtl w:val="0"/>
          <w:szCs w:val="21"/>
        </w:rPr>
        <w:t>Research and technology context for the national station.</w:t>
      </w:r>
    </w:p>
    <w:p>
      <w:pPr>
        <w:bidi w:val="0"/>
        <w:jc w:val="start"/>
      </w:pPr>
      <w:hyperlink r:id="rId15">
        <w:r>
          <w:rPr>
            <w:color w:val="333333"/>
            <w:u w:val="single"/>
          </w:rPr>
          <w:t>https://www.tii.ae/about-us</w:t>
        </w:r>
      </w:hyperlink>
    </w:p>
    <w:p>
      <w:pPr>
        <w:keepNext/>
        <w:bidi w:val="0"/>
        <w:jc w:val="start"/>
      </w:pPr>
      <w:r>
        <w:rPr>
          <w:rFonts w:ascii="Arial" w:hAnsi="Arial" w:cs="Arial"/>
          <w:sz w:val="21"/>
          <w:rtl w:val="0"/>
          <w:szCs w:val="21"/>
        </w:rPr>
        <w:t>[R8] Sustainment services — GAL</w:t>
      </w:r>
    </w:p>
    <w:p>
      <w:pPr>
        <w:keepNext/>
        <w:bidi w:val="0"/>
        <w:jc w:val="start"/>
      </w:pPr>
      <w:r>
        <w:rPr>
          <w:rFonts w:ascii="Arial" w:hAnsi="Arial" w:cs="Arial"/>
          <w:sz w:val="21"/>
          <w:rtl w:val="0"/>
          <w:szCs w:val="21"/>
        </w:rPr>
        <w:t>Context for technical support, maintenance and capability sustainment.</w:t>
      </w:r>
    </w:p>
    <w:p>
      <w:pPr>
        <w:bidi w:val="0"/>
        <w:jc w:val="start"/>
      </w:pPr>
      <w:hyperlink r:id="rId16">
        <w:r>
          <w:rPr>
            <w:color w:val="333333"/>
            <w:u w:val="single"/>
          </w:rPr>
          <w:t>https://www.gal.ae/products-services</w:t>
        </w:r>
      </w:hyperlink>
    </w:p>
    <w:p>
      <w:pPr>
        <w:keepNext/>
        <w:bidi w:val="0"/>
        <w:jc w:val="start"/>
      </w:pPr>
      <w:r>
        <w:rPr>
          <w:rFonts w:ascii="Arial" w:hAnsi="Arial" w:cs="Arial"/>
          <w:sz w:val="21"/>
          <w:rtl w:val="0"/>
          <w:szCs w:val="21"/>
        </w:rPr>
        <w:t>[R9] Meaning of samt in Al Muʿjam Al Wasit — مجمع اللغة العربية بالقاهرة · Academy of the Arabic Language in Cairo</w:t>
      </w:r>
    </w:p>
    <w:p>
      <w:pPr>
        <w:keepNext/>
        <w:bidi w:val="0"/>
        <w:jc w:val="start"/>
      </w:pPr>
      <w:r>
        <w:rPr>
          <w:rFonts w:ascii="Arial" w:hAnsi="Arial" w:cs="Arial"/>
          <w:sz w:val="21"/>
          <w:rtl w:val="0"/>
          <w:szCs w:val="21"/>
        </w:rPr>
        <w:t>Lexical meanings of path and bearing; the leadership application is the initiative’s interpretation.</w:t>
      </w:r>
    </w:p>
    <w:p>
      <w:pPr>
        <w:bidi w:val="0"/>
        <w:jc w:val="start"/>
      </w:pPr>
      <w:hyperlink r:id="rId17">
        <w:r>
          <w:rPr>
            <w:color w:val="333333"/>
            <w:u w:val="single"/>
          </w:rPr>
          <w:t>https://www.arabicacademy.gov.eg/ar/محرك-البحث/السمت</w:t>
        </w:r>
      </w:hyperlink>
    </w:p>
    <w:p>
      <w:pPr>
        <w:keepNext/>
        <w:bidi w:val="0"/>
        <w:jc w:val="start"/>
      </w:pPr>
      <w:r>
        <w:rPr>
          <w:rFonts w:ascii="Arial" w:hAnsi="Arial" w:cs="Arial"/>
          <w:sz w:val="21"/>
          <w:rtl w:val="0"/>
          <w:szCs w:val="21"/>
        </w:rPr>
        <w:t>[R10] Centre for Defence Management and Leadership — Cranfield University</w:t>
      </w:r>
    </w:p>
    <w:p>
      <w:pPr>
        <w:keepNext/>
        <w:bidi w:val="0"/>
        <w:jc w:val="start"/>
      </w:pPr>
      <w:r>
        <w:rPr>
          <w:rFonts w:ascii="Arial" w:hAnsi="Arial" w:cs="Arial"/>
          <w:sz w:val="21"/>
          <w:rtl w:val="0"/>
          <w:szCs w:val="21"/>
        </w:rPr>
        <w:t>Reference for defence leadership and management education, without assuming admission or duration.</w:t>
      </w:r>
    </w:p>
    <w:p>
      <w:pPr>
        <w:bidi w:val="0"/>
        <w:jc w:val="start"/>
      </w:pPr>
      <w:hyperlink r:id="rId18">
        <w:r>
          <w:rPr>
            <w:color w:val="333333"/>
            <w:u w:val="single"/>
          </w:rPr>
          <w:t>https://www.cranfield.ac.uk/centres/centre-for-defence-management-and-leadership</w:t>
        </w:r>
      </w:hyperlink>
    </w:p>
    <w:p>
      <w:pPr>
        <w:keepNext/>
        <w:bidi w:val="0"/>
        <w:jc w:val="start"/>
      </w:pPr>
      <w:r>
        <w:rPr>
          <w:rFonts w:ascii="Arial" w:hAnsi="Arial" w:cs="Arial"/>
          <w:sz w:val="21"/>
          <w:rtl w:val="0"/>
          <w:szCs w:val="21"/>
        </w:rPr>
        <w:t>[R11] Defense Security Cooperation University — DSCU</w:t>
      </w:r>
    </w:p>
    <w:p>
      <w:pPr>
        <w:keepNext/>
        <w:bidi w:val="0"/>
        <w:jc w:val="start"/>
      </w:pPr>
      <w:r>
        <w:rPr>
          <w:rFonts w:ascii="Arial" w:hAnsi="Arial" w:cs="Arial"/>
          <w:sz w:val="21"/>
          <w:rtl w:val="0"/>
          <w:szCs w:val="21"/>
        </w:rPr>
        <w:t>Security-cooperation education remit; the proposed pathway requires formal coordination.</w:t>
      </w:r>
    </w:p>
    <w:p>
      <w:pPr>
        <w:bidi w:val="0"/>
        <w:jc w:val="start"/>
      </w:pPr>
      <w:hyperlink r:id="rId19">
        <w:r>
          <w:rPr>
            <w:color w:val="333333"/>
            <w:u w:val="single"/>
          </w:rPr>
          <w:t>https://www.dscu.edu/</w:t>
        </w:r>
      </w:hyperlink>
    </w:p>
    <w:p>
      <w:pPr>
        <w:keepNext/>
        <w:bidi w:val="0"/>
        <w:jc w:val="start"/>
      </w:pPr>
      <w:r>
        <w:rPr>
          <w:rFonts w:ascii="Arial" w:hAnsi="Arial" w:cs="Arial"/>
          <w:sz w:val="21"/>
          <w:rtl w:val="0"/>
          <w:szCs w:val="21"/>
        </w:rPr>
        <w:t>[R12] Strategy and defence resource management education — Naval Postgraduate School · 2021</w:t>
      </w:r>
    </w:p>
    <w:p>
      <w:pPr>
        <w:keepNext/>
        <w:bidi w:val="0"/>
        <w:jc w:val="start"/>
      </w:pPr>
      <w:r>
        <w:rPr>
          <w:rFonts w:ascii="Arial" w:hAnsi="Arial" w:cs="Arial"/>
          <w:sz w:val="21"/>
          <w:rtl w:val="0"/>
          <w:szCs w:val="21"/>
        </w:rPr>
        <w:t>Historical example of military and civilian education; not evidence of a currently available course or eligibility of all candidates.</w:t>
      </w:r>
    </w:p>
    <w:p>
      <w:pPr>
        <w:bidi w:val="0"/>
        <w:jc w:val="start"/>
      </w:pPr>
      <w:hyperlink r:id="rId20">
        <w:r>
          <w:rPr>
            <w:color w:val="333333"/>
            <w:u w:val="single"/>
          </w:rPr>
          <w:t>https://nps.edu/-/annual-course-builds-strategy-resource-management-skills-for-us-int-l-leaders</w:t>
        </w:r>
      </w:hyperlink>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SAMT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rial" w:hAnsi="Arial" w:cs="Noto Sans Arabic"/>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cs="Noto Sans Arabic"/>
      <w:b/>
      <w:bCs/>
      <w:color w:val="000000"/>
      <w:sz w:val="30"/>
      <w:szCs w:val="28"/>
      <w:rFonts/>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cs="Noto Sans Arabic"/>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Arial" w:hAnsi="Arial" w:cs="Noto Sans Arabic"/>
      <w:b/>
      <w:bCs/>
      <w:color w:val="000000"/>
      <w:rFont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cs="Noto Sans Arabic"/>
      <w:b/>
      <w:color w:val="000000"/>
      <w:spacing w:val="5"/>
      <w:kern w:val="28"/>
      <w:sz w:val="4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cs="Noto Sans Arabic"/>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galinstruments.oecd.org/public/doc/641/641.en.pdf" TargetMode="External"/><Relationship Id="rId10" Type="http://schemas.openxmlformats.org/officeDocument/2006/relationships/hyperlink" Target="https://pubmed.ncbi.nlm.nih.gov/28749153/" TargetMode="External"/><Relationship Id="rId11" Type="http://schemas.openxmlformats.org/officeDocument/2006/relationships/hyperlink" Target="https://www.army.mod.uk/support-and-training/our-schools-and-colleges/rma-sandhurst/officer-training/" TargetMode="External"/><Relationship Id="rId12" Type="http://schemas.openxmlformats.org/officeDocument/2006/relationships/hyperlink" Target="https://www.raf.mod.uk/our-organisation/stations/raf-cosford/" TargetMode="External"/><Relationship Id="rId13" Type="http://schemas.openxmlformats.org/officeDocument/2006/relationships/hyperlink" Target="https://edgegroup.ae/news/launch-edge-europe-edge-heralds-new-model-european-defence" TargetMode="External"/><Relationship Id="rId14" Type="http://schemas.openxmlformats.org/officeDocument/2006/relationships/hyperlink" Target="https://samm.dsca.mil/listing/chapters" TargetMode="External"/><Relationship Id="rId15" Type="http://schemas.openxmlformats.org/officeDocument/2006/relationships/hyperlink" Target="https://www.tii.ae/about-us" TargetMode="External"/><Relationship Id="rId16" Type="http://schemas.openxmlformats.org/officeDocument/2006/relationships/hyperlink" Target="https://www.gal.ae/products-services" TargetMode="External"/><Relationship Id="rId17" Type="http://schemas.openxmlformats.org/officeDocument/2006/relationships/hyperlink" Target="https://www.arabicacademy.gov.eg/ar/&#1605;&#1581;&#1585;&#1603;-&#1575;&#1604;&#1576;&#1581;&#1579;/&#1575;&#1604;&#1587;&#1605;&#1578;" TargetMode="External"/><Relationship Id="rId18" Type="http://schemas.openxmlformats.org/officeDocument/2006/relationships/hyperlink" Target="https://www.cranfield.ac.uk/centres/centre-for-defence-management-and-leadership" TargetMode="External"/><Relationship Id="rId19" Type="http://schemas.openxmlformats.org/officeDocument/2006/relationships/hyperlink" Target="https://www.dscu.edu/" TargetMode="External"/><Relationship Id="rId20" Type="http://schemas.openxmlformats.org/officeDocument/2006/relationships/hyperlink" Target="https://nps.edu/-/annual-course-builds-strategy-resource-management-skills-for-us-int-l-leaders"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SAMT Ministry of Defence leadership development proposal</dc:title>
  <dc:subject>Arabic and English proposal for in-principle endorsement and pilot design</dc:subject>
  <dc:creator>Ahmed Younis Yousif Alhammadi</dc:creator>
  <cp:keywords>SAMT, leadership, MOD, proposal</cp:keywords>
  <dc:description>generated by python-docx</dc:description>
  <cp:lastModifiedBy/>
  <cp:revision>1</cp:revision>
  <dcterms:created xsi:type="dcterms:W3CDTF">2013-12-23T23:15:00Z</dcterms:created>
  <dcterms:modified xsi:type="dcterms:W3CDTF">2013-12-23T23:15:00Z</dcterms:modified>
  <cp:category/>
</cp:coreProperties>
</file>