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pStyle w:val="SmallCaps"/>
        <w:jc w:val="left"/>
      </w:pPr>
      <w:r>
        <w:rPr>
          <w:b/>
        </w:rPr>
        <w:t>NutriAI / Qima</w:t>
      </w:r>
    </w:p>
    <w:p>
      <w:pPr>
        <w:jc w:val="left"/>
        <w:keepNext/>
      </w:pPr>
      <w:r>
        <w:rPr>
          <w:b/>
          <w:color w:val="1F4E46"/>
          <w:sz w:val="44"/>
        </w:rPr>
        <w:t>Updated Design Decision Log</w:t>
      </w:r>
    </w:p>
    <w:p>
      <w:r>
        <w:rPr>
          <w:i/>
          <w:color w:val="5B6B6C"/>
          <w:sz w:val="22"/>
        </w:rPr>
        <w:t>Working record of confirmed, tentative, and open product and architecture decisions after the four-layer nutrition guidance scope update.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4F2"/>
          </w:tcPr>
          <w:p>
            <w:r>
              <w:t>Version</w:t>
              <w:br/>
              <w:t>1.3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4F2"/>
          </w:tcPr>
          <w:p>
            <w:r>
              <w:t>Prepared on</w:t>
              <w:br/>
              <w:t>17 April 2026</w:t>
            </w:r>
          </w:p>
        </w:tc>
        <w:tc>
          <w:tcPr>
            <w:tcW w:type="dxa" w:w="38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AF4F2"/>
          </w:tcPr>
          <w:p>
            <w:r>
              <w:t>Status</w:t>
              <w:br/>
              <w:t>Execution baseline - updated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7FAFA"/>
          </w:tcPr>
          <w:p>
            <w:r>
              <w:t>Supersedes</w:t>
              <w:br/>
              <w:t>Version 1.2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7FAFA"/>
          </w:tcPr>
          <w:p>
            <w:r>
              <w:rPr>
                <w:b/>
                <w:color w:val="1F4E46"/>
                <w:sz w:val="17"/>
              </w:rPr>
              <w:t>Scope</w:t>
              <w:br/>
            </w:r>
            <w:r>
              <w:rPr>
                <w:color w:val="333333"/>
                <w:sz w:val="19"/>
              </w:rPr>
              <w:t>Architecture / design alignment</w:t>
            </w:r>
          </w:p>
        </w:tc>
        <w:tc>
          <w:tcPr>
            <w:tcW w:type="dxa" w:w="38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7FAFA"/>
          </w:tcPr>
          <w:p>
            <w:r>
              <w:rPr>
                <w:b/>
                <w:color w:val="1F4E46"/>
                <w:sz w:val="17"/>
              </w:rPr>
              <w:t>Audience</w:t>
              <w:br/>
            </w:r>
            <w:r>
              <w:rPr>
                <w:color w:val="333333"/>
                <w:sz w:val="19"/>
              </w:rPr>
              <w:t>Project team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EAF4F2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t>This revision keeps all previously locked stack choices and adds three explicit decisions from the latest project discussion: Groq llama-3.1-8b-instant is the main conversational LLM, the recipe layer is locked to retrieval-first grounded summary/light adaptation rather than default free-form generation, and Google Gemini 2.5 Flash is the stable multimodal vision model for the no-barcode flow.</w:t>
            </w:r>
          </w:p>
        </w:tc>
      </w:tr>
    </w:tbl>
    <w:p/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1. Decision register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left"/>
            </w:pPr>
            <w:r>
              <w:rPr>
                <w:b/>
                <w:color w:val="1F4E46"/>
                <w:sz w:val="17"/>
              </w:rPr>
              <w:t>ID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left"/>
            </w:pPr>
            <w:r>
              <w:rPr>
                <w:b/>
                <w:color w:val="1F4E46"/>
                <w:sz w:val="17"/>
              </w:rPr>
              <w:t>Area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center"/>
            </w:pPr>
            <w:r>
              <w:rPr>
                <w:b/>
                <w:color w:val="1F4E46"/>
                <w:sz w:val="17"/>
              </w:rPr>
              <w:t>Decision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center"/>
            </w:pPr>
            <w:r>
              <w:rPr>
                <w:b/>
                <w:color w:val="1F4E46"/>
                <w:sz w:val="17"/>
              </w:rPr>
              <w:t>Status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center"/>
            </w:pPr>
            <w:r>
              <w:rPr>
                <w:b/>
                <w:color w:val="1F4E46"/>
                <w:sz w:val="17"/>
              </w:rPr>
              <w:t>Rationale / note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center"/>
            </w:pPr>
            <w:r>
              <w:rPr>
                <w:b/>
                <w:color w:val="1F4E46"/>
                <w:sz w:val="17"/>
              </w:rPr>
              <w:t>Owner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DD-01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Nutrition data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Use nutrition.xlsx as the primary food nutrient dataset, Egyptian Food.csv for Egyptian foods, and FoodData Central as fallback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This gives the backend a simple primary lookup, localized Egyptian coverage, and broader fallback coverage; Egyptian Food.csv still requires schema, unit, provenance, and licensing validation.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Backend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DD-02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Barcode lookup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Use Open Food Facts API as packaged-food barcode source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Primary packaged-food lookup path.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Backend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DD-03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Vision fallback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Use Google Gemini 2.5 Flash for foods with no barcode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Stable multimodal model locked; backend-owned structured JSON output contract required.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CV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DD-04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Product architecture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Retain mobile app + backend API + tool-using AI layer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Remains the baseline system shape.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PM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DD-05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Delivery model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Keep 12-week MVP with contract-first, parallel execution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No schedule reset approved.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PM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DD-06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API strategy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Use contract-first APIs and stub-driven development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Still required to avoid cross-team blocking.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PM/BE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DD-07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Recipe agent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Use retrieval-first recipe assistance with grounded summary/light adaptation only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Option B locked; default free-form recipe generation not part of the current baseline.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Backend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DD-08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Conversational LLM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Use Groq llama-3.1-8b-instant as the main conversational LLM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Selected for low cost, speed, and acceptable MVP capacity.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NLP/RAG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DD-09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Mobile framework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Lock mobile client to Flutter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Tentative state removed in the prior revision.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Mobile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DD-10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Nutrition grounding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Prefer retrieved structured data over model recall for nutrition answers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Needed to reduce hallucination risk.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NLP/RAG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DD-11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Medical boundary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System must not present medical advice as diagnosis or treatment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Hard product boundary stays in force.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PM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DD-12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Market focus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Egyptian food support is a first-class requirement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Localization is now core scope, not a later enhancement.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PM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DD-13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Backend framework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Lock backend API to Python + FastAPI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Framework choice now explicit rather than implied.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Backend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DD-14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Integration boundary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Flutter calls FastAPI only; no direct third-party API calls from the app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Protects secrets and centralizes normalization, caching, and vendor logic.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Backend/Mobile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DD-15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Secrets policy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API keys and provider credentials remain backend-only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No secrets embedded in mobile builds.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Backend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DD-16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Recipe dataset scope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Use the recipe dataset only inside the recipe layer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Dataset supports recipe retrieval, candidate ranking, grounded recipe assistance, and recipe discussion. It is not used in lookup or as a replacement nutrition source.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Backend/NLP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DD-17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Recipe interaction pattern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Adopt retrieval-first recipe assistance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The system should retrieve grounded recipe candidates before any optional adaptation step.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Backend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DD-18</w:t>
            </w:r>
          </w:p>
        </w:tc>
        <w:tc>
          <w:tcPr>
            <w:tcW w:type="dxa" w:w="13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Recipe discussion grounding</w:t>
            </w:r>
          </w:p>
        </w:tc>
        <w:tc>
          <w:tcPr>
            <w:tcW w:type="dxa" w:w="26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Recipe discussion must use retrieved recipe context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Confirmed</w:t>
            </w:r>
          </w:p>
        </w:tc>
        <w:tc>
          <w:tcPr>
            <w:tcW w:type="dxa" w:w="34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Follow-up recipe answers should rely on retrieved recipe rows and structured match context, not free-form model recall.</w:t>
            </w:r>
          </w:p>
        </w:tc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NLP/RAG</w:t>
            </w:r>
          </w:p>
        </w:tc>
      </w:tr>
      <w:tr>
        <w:tc>
          <w:tcPr>
            <w:tcW w:type="dxa" w:w="1680"/>
          </w:tcPr>
          <w:p>
            <w:r>
              <w:t>DD-19</w:t>
            </w:r>
          </w:p>
        </w:tc>
        <w:tc>
          <w:tcPr>
            <w:tcW w:type="dxa" w:w="1680"/>
          </w:tcPr>
          <w:p>
            <w:r>
              <w:t>Recipe adaptation provider</w:t>
            </w:r>
          </w:p>
        </w:tc>
        <w:tc>
          <w:tcPr>
            <w:tcW w:type="dxa" w:w="1680"/>
          </w:tcPr>
          <w:p>
            <w:r>
              <w:t>Use Groq llama-3.1-8b-instant for recipe summary/light adaptation</w:t>
            </w:r>
          </w:p>
        </w:tc>
        <w:tc>
          <w:tcPr>
            <w:tcW w:type="dxa" w:w="1680"/>
          </w:tcPr>
          <w:p>
            <w:r>
              <w:t>Confirmed</w:t>
            </w:r>
          </w:p>
        </w:tc>
        <w:tc>
          <w:tcPr>
            <w:tcW w:type="dxa" w:w="1680"/>
          </w:tcPr>
          <w:p>
            <w:r>
              <w:t>Keeps one provider path for conversational Q&amp;A and recipe adaptation.</w:t>
            </w:r>
          </w:p>
        </w:tc>
        <w:tc>
          <w:tcPr>
            <w:tcW w:type="dxa" w:w="1680"/>
          </w:tcPr>
          <w:p>
            <w:r>
              <w:t>Backend/NLP</w:t>
            </w:r>
          </w:p>
        </w:tc>
      </w:tr>
      <w:tr>
        <w:tc>
          <w:tcPr>
            <w:tcW w:type="dxa" w:w="1680"/>
          </w:tcPr>
          <w:p>
            <w:r>
              <w:t>DD-20</w:t>
            </w:r>
          </w:p>
        </w:tc>
        <w:tc>
          <w:tcPr>
            <w:tcW w:type="dxa" w:w="1680"/>
          </w:tcPr>
          <w:p>
            <w:r>
              <w:t>Vision output contract</w:t>
            </w:r>
          </w:p>
        </w:tc>
        <w:tc>
          <w:tcPr>
            <w:tcW w:type="dxa" w:w="1680"/>
          </w:tcPr>
          <w:p>
            <w:r>
              <w:t>Normalize Gemini vision output into a backend-defined structured JSON schema</w:t>
            </w:r>
          </w:p>
        </w:tc>
        <w:tc>
          <w:tcPr>
            <w:tcW w:type="dxa" w:w="1680"/>
          </w:tcPr>
          <w:p>
            <w:r>
              <w:t>Confirmed</w:t>
            </w:r>
          </w:p>
        </w:tc>
        <w:tc>
          <w:tcPr>
            <w:tcW w:type="dxa" w:w="1680"/>
          </w:tcPr>
          <w:p>
            <w:r>
              <w:t>Prevents upstream response drift from leaking into mobile or nutrition-estimation logic.</w:t>
            </w:r>
          </w:p>
        </w:tc>
        <w:tc>
          <w:tcPr>
            <w:tcW w:type="dxa" w:w="1680"/>
          </w:tcPr>
          <w:p>
            <w:r>
              <w:t>Backend/CV</w:t>
            </w:r>
          </w:p>
        </w:tc>
      </w:tr>
    </w:tbl>
    <w:p/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2. Controlled wording corrections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vAlign w:val="center"/>
            <w:shd w:fill="D7ECE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E46"/>
                <w:sz w:val="18"/>
              </w:rPr>
              <w:t>Topic</w:t>
            </w:r>
          </w:p>
        </w:tc>
        <w:tc>
          <w:tcPr>
            <w:tcW w:type="dxa" w:w="6912"/>
            <w:vAlign w:val="center"/>
            <w:shd w:fill="D7ECE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E46"/>
                <w:sz w:val="18"/>
              </w:rPr>
              <w:t>Current controlled wording / action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8F8"/>
          </w:tcPr>
          <w:p>
            <w:r>
              <w:t>Food API naming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 "Open Food Facts API" rather than older variants.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8F8"/>
          </w:tcPr>
          <w:p>
            <w:r>
              <w:t>Vision model naming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 "Google Gemini 2.5 Flash" or API model id `gemini-2.5-flash`.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8F8"/>
          </w:tcPr>
          <w:p>
            <w:r>
              <w:t>Backend stack wording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 "Python + FastAPI backend" everywhere.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8F8"/>
          </w:tcPr>
          <w:p>
            <w:r>
              <w:t>Mobile integration wording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 "Flutter calls backend only" everywhere.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8F8"/>
          </w:tcPr>
          <w:p>
            <w:r>
              <w:t>Recipe dataset wording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 "recipe corpus" or "recipe dataset inside the recipe layer", not "lookup database".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8F8"/>
          </w:tcPr>
          <w:p>
            <w:r>
              <w:t>Recipe generation wording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 "retrieval-first grounded recipe assistance with summary/light adaptation"; do not describe the current system as free-form recipe generation.</w:t>
            </w:r>
          </w:p>
        </w:tc>
      </w:tr>
      <w:tr>
        <w:tc>
          <w:tcPr>
            <w:tcW w:type="dxa" w:w="5040"/>
          </w:tcPr>
          <w:p>
            <w:r>
              <w:t>Conversational model wording</w:t>
            </w:r>
          </w:p>
        </w:tc>
        <w:tc>
          <w:tcPr>
            <w:tcW w:type="dxa" w:w="5040"/>
          </w:tcPr>
          <w:p>
            <w:r>
              <w:t>Use "Groq llama-3.1-8b-instant" as the locked conversational LLM.</w:t>
            </w:r>
          </w:p>
        </w:tc>
      </w:tr>
    </w:tbl>
    <w:p/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3. Design implications</w:t>
      </w:r>
    </w:p>
    <w:p>
      <w:pPr>
        <w:ind w:left="288" w:hanging="216"/>
      </w:pPr>
      <w:r>
        <w:t>• The backend must expose stable mobile-facing contracts even if upstream providers change.</w:t>
      </w:r>
    </w:p>
    <w:p>
      <w:pPr>
        <w:ind w:left="288" w:hanging="216"/>
      </w:pPr>
      <w:r>
        <w:t>• Barcode and non-barcode flows should remain separate internally because their confidence and failure modes differ.</w:t>
      </w:r>
    </w:p>
    <w:p>
      <w:pPr>
        <w:ind w:left="288" w:hanging="216"/>
      </w:pPr>
      <w:r>
        <w:t>• Gemini outputs should use a structured JSON contract with dish candidates, ingredients, confidence, and source fields.</w:t>
      </w:r>
    </w:p>
    <w:p>
      <w:pPr>
        <w:ind w:left="288" w:hanging="216"/>
      </w:pPr>
      <w:r>
        <w:t>• Prompting and safety rules should now be written against the locked providers: Groq llama-3.1-8b-instant for conversational and recipe adaptation, and Gemini 2.5 Flash for vision.</w:t>
      </w:r>
    </w:p>
    <w:p>
      <w:pPr>
        <w:ind w:left="288" w:hanging="216"/>
      </w:pPr>
      <w:r>
        <w:t>• The nutrition layer must reconcile packaged products and local meal estimates through one normalized schema and a backend-owned source hierarchy: nutrition.xlsx first, Egyptian Food.csv for Egyptian foods, then FoodData Central fallback.</w:t>
      </w:r>
    </w:p>
    <w:p>
      <w:pPr>
        <w:ind w:left="288" w:hanging="216"/>
      </w:pPr>
      <w:r>
        <w:t>• The recipe layer must keep recipe retrieval, candidate ranking, missing-ingredient logic, and recipe discussion grounded in the recipe corpus.</w:t>
      </w:r>
    </w:p>
    <w:p>
      <w:pPr>
        <w:ind w:left="288" w:hanging="216"/>
      </w:pPr>
      <w:r>
        <w:t>• Recipe discussion should explain why a recipe was suggested, what ingredients are missing, and how the candidate could be adapted without inventing a substantially new recipe by default.</w:t>
      </w:r>
    </w:p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4. Highest-priority open decisions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left"/>
            </w:pPr>
            <w:r>
              <w:rPr>
                <w:b/>
                <w:color w:val="1F4E46"/>
                <w:sz w:val="17"/>
              </w:rPr>
              <w:t>ID</w:t>
            </w:r>
          </w:p>
        </w:tc>
        <w:tc>
          <w:tcPr>
            <w:tcW w:type="dxa" w:w="20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left"/>
            </w:pPr>
            <w:r>
              <w:rPr>
                <w:b/>
                <w:color w:val="1F4E46"/>
                <w:sz w:val="17"/>
              </w:rPr>
              <w:t>Decision</w:t>
            </w:r>
          </w:p>
        </w:tc>
        <w:tc>
          <w:tcPr>
            <w:tcW w:type="dxa" w:w="33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center"/>
            </w:pPr>
            <w:r>
              <w:rPr>
                <w:b/>
                <w:color w:val="1F4E46"/>
                <w:sz w:val="17"/>
              </w:rPr>
              <w:t>Missing detail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center"/>
            </w:pPr>
            <w:r>
              <w:rPr>
                <w:b/>
                <w:color w:val="1F4E46"/>
                <w:sz w:val="17"/>
              </w:rPr>
              <w:t>Priority</w:t>
            </w:r>
          </w:p>
        </w:tc>
        <w:tc>
          <w:tcPr>
            <w:tcW w:type="dxa" w:w="230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7ECE7"/>
          </w:tcPr>
          <w:p>
            <w:pPr>
              <w:jc w:val="center"/>
            </w:pPr>
            <w:r>
              <w:rPr>
                <w:b/>
                <w:color w:val="1F4E46"/>
                <w:sz w:val="17"/>
              </w:rPr>
              <w:t>Why it matters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OD-01</w:t>
            </w:r>
          </w:p>
        </w:tc>
        <w:tc>
          <w:tcPr>
            <w:tcW w:type="dxa" w:w="20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Dataset validation</w:t>
            </w:r>
          </w:p>
        </w:tc>
        <w:tc>
          <w:tcPr>
            <w:tcW w:type="dxa" w:w="33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Schema audit, unit consistency, provenance, and license review for Egyptian Food.csv, plus documented matching rules between nutrition.xlsx and FoodData Central fallback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High</w:t>
            </w:r>
          </w:p>
        </w:tc>
        <w:tc>
          <w:tcPr>
            <w:tcW w:type="dxa" w:w="230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Egyptian Food.csv cannot be treated as trusted without this, and the primary-to-fallback matching order must be documented before production rollout.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OD-02</w:t>
            </w:r>
          </w:p>
        </w:tc>
        <w:tc>
          <w:tcPr>
            <w:tcW w:type="dxa" w:w="20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Recipe corpus preprocessing</w:t>
            </w:r>
          </w:p>
        </w:tc>
        <w:tc>
          <w:tcPr>
            <w:tcW w:type="dxa" w:w="33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Canonical ingredient vocabulary, deduplication, dietary tags, and allergen/exclusion handling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High</w:t>
            </w:r>
          </w:p>
        </w:tc>
        <w:tc>
          <w:tcPr>
            <w:tcW w:type="dxa" w:w="230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Affects recipe quality, grounding quality, and discussion reliability.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>
              <w:t>OD-03</w:t>
            </w:r>
          </w:p>
        </w:tc>
        <w:tc>
          <w:tcPr>
            <w:tcW w:type="dxa" w:w="20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Authentication strategy</w:t>
            </w:r>
          </w:p>
        </w:tc>
        <w:tc>
          <w:tcPr>
            <w:tcW w:type="dxa" w:w="33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Email/password vs OAuth vs guest mode, unless already decided elsewhere and not logged</w:t>
            </w:r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Medium</w:t>
            </w:r>
          </w:p>
        </w:tc>
        <w:tc>
          <w:tcPr>
            <w:tcW w:type="dxa" w:w="230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t>Still affects backend scope and mobile onboarding flow if unresolved.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/>
          </w:p>
        </w:tc>
        <w:tc>
          <w:tcPr>
            <w:tcW w:type="dxa" w:w="20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/>
          </w:p>
        </w:tc>
        <w:tc>
          <w:tcPr>
            <w:tcW w:type="dxa" w:w="33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/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/>
          </w:p>
        </w:tc>
        <w:tc>
          <w:tcPr>
            <w:tcW w:type="dxa" w:w="230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AFA"/>
          </w:tcPr>
          <w:p>
            <w:r/>
          </w:p>
        </w:tc>
        <w:tc>
          <w:tcPr>
            <w:tcW w:type="dxa" w:w="20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/>
          </w:p>
        </w:tc>
        <w:tc>
          <w:tcPr>
            <w:tcW w:type="dxa" w:w="33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/>
          </w:p>
        </w:tc>
        <w:tc>
          <w:tcPr>
            <w:tcW w:type="dxa" w:w="11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/>
          </w:p>
        </w:tc>
        <w:tc>
          <w:tcPr>
            <w:tcW w:type="dxa" w:w="230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/>
          </w:p>
        </w:tc>
      </w:tr>
    </w:tbl>
    <w:p/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5. Immediate document updates required</w:t>
      </w:r>
    </w:p>
    <w:p>
      <w:pPr>
        <w:ind w:left="288" w:hanging="216"/>
      </w:pPr>
      <w:r>
        <w:t>• Revise the PRD and sprint documents so they explicitly state Groq llama-3.1-8b-instant as the conversational LLM and recipe-adaptation model.</w:t>
      </w:r>
    </w:p>
    <w:p>
      <w:pPr>
        <w:ind w:left="288" w:hanging="216"/>
      </w:pPr>
      <w:r>
        <w:t>• Update the CV/API contracts to state Google Gemini 2.5 Flash as the locked multimodal vision model and to enforce a backend-defined JSON response schema.</w:t>
      </w:r>
    </w:p>
    <w:p>
      <w:pPr>
        <w:ind w:left="288" w:hanging="216"/>
      </w:pPr>
      <w:r>
        <w:t>• Document the backend-only integration rule in mobile and backend deliverables to prevent direct provider calls from the app.</w:t>
      </w:r>
    </w:p>
    <w:p>
      <w:pPr>
        <w:ind w:left="288" w:hanging="216"/>
      </w:pPr>
      <w:r>
        <w:t>• Add a formal dataset validation note before Egyptian Food.csv is treated as authoritative, and document nutrition.xlsx as the primary food nutrient source with FoodData Central as fallback.</w:t>
      </w:r>
    </w:p>
    <w:p>
      <w:pPr>
        <w:ind w:left="288" w:hanging="216"/>
      </w:pPr>
      <w:r>
        <w:t>• Finalize recipe corpus preprocessing standards: canonical ingredient vocabulary, deduplication, dietary tags, and exclusion handling.</w:t>
      </w:r>
    </w:p>
    <w:p>
      <w:pPr>
        <w:ind w:left="288" w:hanging="216"/>
      </w:pPr>
      <w:r>
        <w:t>• Document the recipe layer as retrieval-first grounded assistance with summary/light adaptation only; no default free-form recipe generation.</w:t>
      </w:r>
    </w:p>
    <w:p>
      <w:pPr>
        <w:ind w:left="288" w:hanging="216"/>
      </w:pPr>
      <w:r/>
    </w:p>
    <w:p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6. Source basis for this revision</w:t>
      </w:r>
    </w:p>
    <w:p>
      <w:pPr>
        <w:ind w:left="288" w:hanging="216"/>
      </w:pPr>
      <w:r>
        <w:t>• Prior workflow plan and proposal artifacts.</w:t>
      </w:r>
    </w:p>
    <w:p>
      <w:pPr>
        <w:ind w:left="288" w:hanging="216"/>
      </w:pPr>
      <w:r>
        <w:t>• Previous architecture baseline and decision log.</w:t>
      </w:r>
    </w:p>
    <w:p>
      <w:pPr>
        <w:ind w:left="288" w:hanging="216"/>
      </w:pPr>
      <w:r>
        <w:t>• Latest team discussion locking Groq llama-3.1-8b-instant for conversational Q&amp;A and recipe adaptation.</w:t>
      </w:r>
    </w:p>
    <w:p>
      <w:pPr>
        <w:ind w:left="288" w:hanging="216"/>
      </w:pPr>
      <w:r>
        <w:t>• Latest team discussion locking Option B for the recipe layer: retrieval-first grounded summary/light adaptation.</w:t>
      </w:r>
    </w:p>
    <w:p>
      <w:r>
        <w:t>• Latest team discussion locking Google Gemini 2.5 Flash for the no-barcode vision flow.</w:t>
      </w:r>
    </w:p>
    <w:p>
      <w:r>
        <w:rPr>
          <w:b/>
        </w:rPr>
        <w:t>7. Revision 1.4 decision additions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>ID</w:t>
            </w:r>
          </w:p>
        </w:tc>
        <w:tc>
          <w:tcPr>
            <w:tcW w:w="2400" w:type="dxa"/>
          </w:tcPr>
          <w:p>
            <w:r>
              <w:t>Area</w:t>
            </w:r>
          </w:p>
        </w:tc>
        <w:tc>
          <w:tcPr>
            <w:tcW w:w="2400" w:type="dxa"/>
          </w:tcPr>
          <w:p>
            <w:r>
              <w:t>Decision</w:t>
            </w:r>
          </w:p>
        </w:tc>
        <w:tc>
          <w:tcPr>
            <w:tcW w:w="2400" w:type="dxa"/>
          </w:tcPr>
          <w:p>
            <w:r>
              <w:t>Status</w:t>
            </w:r>
          </w:p>
        </w:tc>
        <w:tc>
          <w:tcPr>
            <w:tcW w:w="2400" w:type="dxa"/>
          </w:tcPr>
          <w:p>
            <w:r>
              <w:t>Rationale / note</w:t>
            </w:r>
          </w:p>
        </w:tc>
        <w:tc>
          <w:tcPr>
            <w:tcW w:w="2400" w:type="dxa"/>
          </w:tcPr>
          <w:p>
            <w:r>
              <w:t>Owner</w:t>
            </w:r>
          </w:p>
        </w:tc>
      </w:tr>
      <w:tr>
        <w:tc>
          <w:tcPr>
            <w:tcW w:w="2400" w:type="dxa"/>
          </w:tcPr>
          <w:p>
            <w:r>
              <w:t>DD-10</w:t>
            </w:r>
          </w:p>
        </w:tc>
        <w:tc>
          <w:tcPr>
            <w:tcW w:w="2400" w:type="dxa"/>
          </w:tcPr>
          <w:p>
            <w:r>
              <w:t>Product scope</w:t>
            </w:r>
          </w:p>
        </w:tc>
        <w:tc>
          <w:tcPr>
            <w:tcW w:w="2400" w:type="dxa"/>
          </w:tcPr>
          <w:p>
            <w:r>
              <w:t>Expand Qima into four bounded layers: food understanding, recipe assistance, budget-aware meal planning, and personalized nutrition guidance.</w:t>
            </w:r>
          </w:p>
        </w:tc>
        <w:tc>
          <w:tcPr>
            <w:tcW w:w="2400" w:type="dxa"/>
          </w:tcPr>
          <w:p>
            <w:r>
              <w:t>Confirmed</w:t>
            </w:r>
          </w:p>
        </w:tc>
        <w:tc>
          <w:tcPr>
            <w:tcW w:w="2400" w:type="dxa"/>
          </w:tcPr>
          <w:p>
            <w:r>
              <w:t>This captures the new feature direction while preserving backend-owned, grounded, non-diagnostic boundaries.</w:t>
            </w:r>
          </w:p>
        </w:tc>
        <w:tc>
          <w:tcPr>
            <w:tcW w:w="2400" w:type="dxa"/>
          </w:tcPr>
          <w:p>
            <w:r>
              <w:t>PM</w:t>
            </w:r>
          </w:p>
        </w:tc>
      </w:tr>
      <w:tr>
        <w:tc>
          <w:tcPr>
            <w:tcW w:w="2400" w:type="dxa"/>
          </w:tcPr>
          <w:p>
            <w:r>
              <w:t>DD-11</w:t>
            </w:r>
          </w:p>
        </w:tc>
        <w:tc>
          <w:tcPr>
            <w:tcW w:w="2400" w:type="dxa"/>
          </w:tcPr>
          <w:p>
            <w:r>
              <w:t>Ingredient pricing</w:t>
            </w:r>
          </w:p>
        </w:tc>
        <w:tc>
          <w:tcPr>
            <w:tcW w:w="2400" w:type="dxa"/>
          </w:tcPr>
          <w:p>
            <w:r>
              <w:t>Add ingredient price awareness through a separate Egyptian price knowledge base and backend normalization layer.</w:t>
            </w:r>
          </w:p>
        </w:tc>
        <w:tc>
          <w:tcPr>
            <w:tcW w:w="2400" w:type="dxa"/>
          </w:tcPr>
          <w:p>
            <w:r>
              <w:t>Confirmed</w:t>
            </w:r>
          </w:p>
        </w:tc>
        <w:tc>
          <w:tcPr>
            <w:tcW w:w="2400" w:type="dxa"/>
          </w:tcPr>
          <w:p>
            <w:r>
              <w:t>Price data is unstable and must not be mixed into recipe or nutrition source responsibilities.</w:t>
            </w:r>
          </w:p>
        </w:tc>
        <w:tc>
          <w:tcPr>
            <w:tcW w:w="2400" w:type="dxa"/>
          </w:tcPr>
          <w:p>
            <w:r>
              <w:t>Backend/Data</w:t>
            </w:r>
          </w:p>
        </w:tc>
      </w:tr>
      <w:tr>
        <w:tc>
          <w:tcPr>
            <w:tcW w:w="2400" w:type="dxa"/>
          </w:tcPr>
          <w:p>
            <w:r>
              <w:t>DD-12</w:t>
            </w:r>
          </w:p>
        </w:tc>
        <w:tc>
          <w:tcPr>
            <w:tcW w:w="2400" w:type="dxa"/>
          </w:tcPr>
          <w:p>
            <w:r>
              <w:t>Recipe ranking</w:t>
            </w:r>
          </w:p>
        </w:tc>
        <w:tc>
          <w:tcPr>
            <w:tcW w:w="2400" w:type="dxa"/>
          </w:tcPr>
          <w:p>
            <w:r>
              <w:t>Update recipe scoring to consider ingredient overlap, missing ingredients, estimated cost, dietary constraints, target fit, and warning flags.</w:t>
            </w:r>
          </w:p>
        </w:tc>
        <w:tc>
          <w:tcPr>
            <w:tcW w:w="2400" w:type="dxa"/>
          </w:tcPr>
          <w:p>
            <w:r>
              <w:t>Confirmed</w:t>
            </w:r>
          </w:p>
        </w:tc>
        <w:tc>
          <w:tcPr>
            <w:tcW w:w="2400" w:type="dxa"/>
          </w:tcPr>
          <w:p>
            <w:r>
              <w:t>Supports cheaper alternatives, substitutions, and budget-aware meal planning without free-form recipe invention.</w:t>
            </w:r>
          </w:p>
        </w:tc>
        <w:tc>
          <w:tcPr>
            <w:tcW w:w="2400" w:type="dxa"/>
          </w:tcPr>
          <w:p>
            <w:r>
              <w:t>Backend</w:t>
            </w:r>
          </w:p>
        </w:tc>
      </w:tr>
      <w:tr>
        <w:tc>
          <w:tcPr>
            <w:tcW w:w="2400" w:type="dxa"/>
          </w:tcPr>
          <w:p>
            <w:r>
              <w:t>DD-13</w:t>
            </w:r>
          </w:p>
        </w:tc>
        <w:tc>
          <w:tcPr>
            <w:tcW w:w="2400" w:type="dxa"/>
          </w:tcPr>
          <w:p>
            <w:r>
              <w:t>Lab-marker guidance</w:t>
            </w:r>
          </w:p>
        </w:tc>
        <w:tc>
          <w:tcPr>
            <w:tcW w:w="2400" w:type="dxa"/>
          </w:tcPr>
          <w:p>
            <w:r>
              <w:t>Limit blood-test-informed recommendations to a whitelist of nutrition-relevant markers with rule-based, food-oriented templates and explicit support status.</w:t>
            </w:r>
          </w:p>
        </w:tc>
        <w:tc>
          <w:tcPr>
            <w:tcW w:w="2400" w:type="dxa"/>
          </w:tcPr>
          <w:p>
            <w:r>
              <w:t>Confirmed</w:t>
            </w:r>
          </w:p>
        </w:tc>
        <w:tc>
          <w:tcPr>
            <w:tcW w:w="2400" w:type="dxa"/>
          </w:tcPr>
          <w:p>
            <w:r>
              <w:t>Keeps the product inside the existing non-diagnostic medical boundary.</w:t>
            </w:r>
          </w:p>
        </w:tc>
        <w:tc>
          <w:tcPr>
            <w:tcW w:w="2400" w:type="dxa"/>
          </w:tcPr>
          <w:p>
            <w:r>
              <w:t>Backend/PM</w:t>
            </w:r>
          </w:p>
        </w:tc>
      </w:tr>
      <w:tr>
        <w:tc>
          <w:tcPr>
            <w:tcW w:w="2400" w:type="dxa"/>
          </w:tcPr>
          <w:p>
            <w:r>
              <w:t>DD-14</w:t>
            </w:r>
          </w:p>
        </w:tc>
        <w:tc>
          <w:tcPr>
            <w:tcW w:w="2400" w:type="dxa"/>
          </w:tcPr>
          <w:p>
            <w:r>
              <w:t>Goal-based plans</w:t>
            </w:r>
          </w:p>
        </w:tc>
        <w:tc>
          <w:tcPr>
            <w:tcW w:w="2400" w:type="dxa"/>
          </w:tcPr>
          <w:p>
            <w:r>
              <w:t>Add goal-based meal guidance for generally healthy adults using a profile model, nutrition target engine, and grounded plan generator.</w:t>
            </w:r>
          </w:p>
        </w:tc>
        <w:tc>
          <w:tcPr>
            <w:tcW w:w="2400" w:type="dxa"/>
          </w:tcPr>
          <w:p>
            <w:r>
              <w:t>Confirmed with constraints</w:t>
            </w:r>
          </w:p>
        </w:tc>
        <w:tc>
          <w:tcPr>
            <w:tcW w:w="2400" w:type="dxa"/>
          </w:tcPr>
          <w:p>
            <w:r>
              <w:t>This is a material scope expansion and must exclude clinical populations and unrestricted longitudinal coaching at launch.</w:t>
            </w:r>
          </w:p>
        </w:tc>
        <w:tc>
          <w:tcPr>
            <w:tcW w:w="2400" w:type="dxa"/>
          </w:tcPr>
          <w:p>
            <w:r>
              <w:t>PM/Backend</w:t>
            </w:r>
          </w:p>
        </w:tc>
      </w:tr>
      <w:tr>
        <w:tc>
          <w:tcPr>
            <w:tcW w:w="2400" w:type="dxa"/>
          </w:tcPr>
          <w:p>
            <w:r>
              <w:t>DD-15</w:t>
            </w:r>
          </w:p>
        </w:tc>
        <w:tc>
          <w:tcPr>
            <w:tcW w:w="2400" w:type="dxa"/>
          </w:tcPr>
          <w:p>
            <w:r>
              <w:t>Contract-first expansion</w:t>
            </w:r>
          </w:p>
        </w:tc>
        <w:tc>
          <w:tcPr>
            <w:tcW w:w="2400" w:type="dxa"/>
          </w:tcPr>
          <w:p>
            <w:r>
              <w:t>Define /v1/prices/estimate, /v1/labs/interpret, /v1/profile/update, and /v1/plans/generate before implementation.</w:t>
            </w:r>
          </w:p>
        </w:tc>
        <w:tc>
          <w:tcPr>
            <w:tcW w:w="2400" w:type="dxa"/>
          </w:tcPr>
          <w:p>
            <w:r>
              <w:t>Confirmed</w:t>
            </w:r>
          </w:p>
        </w:tc>
        <w:tc>
          <w:tcPr>
            <w:tcW w:w="2400" w:type="dxa"/>
          </w:tcPr>
          <w:p>
            <w:r>
              <w:t>The workflow plan treats contract drift and scope creep as major risks.</w:t>
            </w:r>
          </w:p>
        </w:tc>
        <w:tc>
          <w:tcPr>
            <w:tcW w:w="2400" w:type="dxa"/>
          </w:tcPr>
          <w:p>
            <w:r>
              <w:t>PM/BE</w:t>
            </w:r>
          </w:p>
        </w:tc>
      </w:tr>
    </w:tbl>
    <w:p>
      <w:r>
        <w:rPr>
          <w:b/>
        </w:rPr>
        <w:t>8. Controlled wording additions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>Topic</w:t>
            </w:r>
          </w:p>
        </w:tc>
        <w:tc>
          <w:tcPr>
            <w:tcW w:w="2400" w:type="dxa"/>
          </w:tcPr>
          <w:p>
            <w:r>
              <w:t>Controlled wording / action</w:t>
            </w:r>
          </w:p>
        </w:tc>
      </w:tr>
      <w:tr>
        <w:tc>
          <w:tcPr>
            <w:tcW w:w="2400" w:type="dxa"/>
          </w:tcPr>
          <w:p>
            <w:r>
              <w:t>Product scope</w:t>
            </w:r>
          </w:p>
        </w:tc>
        <w:tc>
          <w:tcPr>
            <w:tcW w:w="2400" w:type="dxa"/>
          </w:tcPr>
          <w:p>
            <w:r>
              <w:t>Use "AI nutrition guidance platform with four bounded layers" when describing the revised scope.</w:t>
            </w:r>
          </w:p>
        </w:tc>
      </w:tr>
      <w:tr>
        <w:tc>
          <w:tcPr>
            <w:tcW w:w="2400" w:type="dxa"/>
          </w:tcPr>
          <w:p>
            <w:r>
              <w:t>Price feature</w:t>
            </w:r>
          </w:p>
        </w:tc>
        <w:tc>
          <w:tcPr>
            <w:tcW w:w="2400" w:type="dxa"/>
          </w:tcPr>
          <w:p>
            <w:r>
              <w:t>Use "estimated ingredient cost" or "price-aware recipe ranking"; avoid implying live market prices unless a maintained update pipeline exists.</w:t>
            </w:r>
          </w:p>
        </w:tc>
      </w:tr>
      <w:tr>
        <w:tc>
          <w:tcPr>
            <w:tcW w:w="2400" w:type="dxa"/>
          </w:tcPr>
          <w:p>
            <w:r>
              <w:t>Lab feature</w:t>
            </w:r>
          </w:p>
        </w:tc>
        <w:tc>
          <w:tcPr>
            <w:tcW w:w="2400" w:type="dxa"/>
          </w:tcPr>
          <w:p>
            <w:r>
              <w:t>Use "lab-marker-informed food guidance"; do not use diagnosis, treatment, deficiency diagnosis, supplement prescription, or clinical interpretation language.</w:t>
            </w:r>
          </w:p>
        </w:tc>
      </w:tr>
      <w:tr>
        <w:tc>
          <w:tcPr>
            <w:tcW w:w="2400" w:type="dxa"/>
          </w:tcPr>
          <w:p>
            <w:r>
              <w:t>Plans feature</w:t>
            </w:r>
          </w:p>
        </w:tc>
        <w:tc>
          <w:tcPr>
            <w:tcW w:w="2400" w:type="dxa"/>
          </w:tcPr>
          <w:p>
            <w:r>
              <w:t>Use "goal-based meal guidance for generally healthy adults"; do not market as unrestricted personalized diet therapy.</w:t>
            </w:r>
          </w:p>
        </w:tc>
      </w:tr>
      <w:tr>
        <w:tc>
          <w:tcPr>
            <w:tcW w:w="2400" w:type="dxa"/>
          </w:tcPr>
          <w:p>
            <w:r>
              <w:t>LLM role</w:t>
            </w:r>
          </w:p>
        </w:tc>
        <w:tc>
          <w:tcPr>
            <w:tcW w:w="2400" w:type="dxa"/>
          </w:tcPr>
          <w:p>
            <w:r>
              <w:t>Recommendation layers are backend-managed and grounded; do not describe price, lab, or plan outputs as raw LLM chat features.</w:t>
            </w:r>
          </w:p>
        </w:tc>
      </w:tr>
    </w:tbl>
    <w:p>
      <w:r>
        <w:rPr>
          <w:b/>
        </w:rPr>
        <w:t>9. New highest-priority open decisions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>ID</w:t>
            </w:r>
          </w:p>
        </w:tc>
        <w:tc>
          <w:tcPr>
            <w:tcW w:w="2400" w:type="dxa"/>
          </w:tcPr>
          <w:p>
            <w:r>
              <w:t>Decision</w:t>
            </w:r>
          </w:p>
        </w:tc>
        <w:tc>
          <w:tcPr>
            <w:tcW w:w="2400" w:type="dxa"/>
          </w:tcPr>
          <w:p>
            <w:r>
              <w:t>Missing detail</w:t>
            </w:r>
          </w:p>
        </w:tc>
        <w:tc>
          <w:tcPr>
            <w:tcW w:w="2400" w:type="dxa"/>
          </w:tcPr>
          <w:p>
            <w:r>
              <w:t>Priority</w:t>
            </w:r>
          </w:p>
        </w:tc>
        <w:tc>
          <w:tcPr>
            <w:tcW w:w="2400" w:type="dxa"/>
          </w:tcPr>
          <w:p>
            <w:r>
              <w:t>Why it matters</w:t>
            </w:r>
          </w:p>
        </w:tc>
      </w:tr>
      <w:tr>
        <w:tc>
          <w:tcPr>
            <w:tcW w:w="2400" w:type="dxa"/>
          </w:tcPr>
          <w:p>
            <w:r>
              <w:t>OD-04</w:t>
            </w:r>
          </w:p>
        </w:tc>
        <w:tc>
          <w:tcPr>
            <w:tcW w:w="2400" w:type="dxa"/>
          </w:tcPr>
          <w:p>
            <w:r>
              <w:t>Egyptian ingredient price source</w:t>
            </w:r>
          </w:p>
        </w:tc>
        <w:tc>
          <w:tcPr>
            <w:tcW w:w="2400" w:type="dxa"/>
          </w:tcPr>
          <w:p>
            <w:r>
              <w:t>Source owner, update cadence, geography, validation process, unit schema, and stale-price handling.</w:t>
            </w:r>
          </w:p>
        </w:tc>
        <w:tc>
          <w:tcPr>
            <w:tcW w:w="2400" w:type="dxa"/>
          </w:tcPr>
          <w:p>
            <w:r>
              <w:t>High</w:t>
            </w:r>
          </w:p>
        </w:tc>
        <w:tc>
          <w:tcPr>
            <w:tcW w:w="2400" w:type="dxa"/>
          </w:tcPr>
          <w:p>
            <w:r>
              <w:t>Cost-aware recommendations will be visibly wrong without normalized and current-enough price data.</w:t>
            </w:r>
          </w:p>
        </w:tc>
      </w:tr>
      <w:tr>
        <w:tc>
          <w:tcPr>
            <w:tcW w:w="2400" w:type="dxa"/>
          </w:tcPr>
          <w:p>
            <w:r>
              <w:t>OD-05</w:t>
            </w:r>
          </w:p>
        </w:tc>
        <w:tc>
          <w:tcPr>
            <w:tcW w:w="2400" w:type="dxa"/>
          </w:tcPr>
          <w:p>
            <w:r>
              <w:t>Supported lab-marker whitelist</w:t>
            </w:r>
          </w:p>
        </w:tc>
        <w:tc>
          <w:tcPr>
            <w:tcW w:w="2400" w:type="dxa"/>
          </w:tcPr>
          <w:p>
            <w:r>
              <w:t>Exact markers, units, reference-range formats, age/sex constraints, allowed nutrient themes, and refusal templates.</w:t>
            </w:r>
          </w:p>
        </w:tc>
        <w:tc>
          <w:tcPr>
            <w:tcW w:w="2400" w:type="dxa"/>
          </w:tcPr>
          <w:p>
            <w:r>
              <w:t>High</w:t>
            </w:r>
          </w:p>
        </w:tc>
        <w:tc>
          <w:tcPr>
            <w:tcW w:w="2400" w:type="dxa"/>
          </w:tcPr>
          <w:p>
            <w:r>
              <w:t>Prevents unsafe medical inference and keeps the feature non-diagnostic.</w:t>
            </w:r>
          </w:p>
        </w:tc>
      </w:tr>
      <w:tr>
        <w:tc>
          <w:tcPr>
            <w:tcW w:w="2400" w:type="dxa"/>
          </w:tcPr>
          <w:p>
            <w:r>
              <w:t>OD-06</w:t>
            </w:r>
          </w:p>
        </w:tc>
        <w:tc>
          <w:tcPr>
            <w:tcW w:w="2400" w:type="dxa"/>
          </w:tcPr>
          <w:p>
            <w:r>
              <w:t>Goal-plan exclusions</w:t>
            </w:r>
          </w:p>
        </w:tc>
        <w:tc>
          <w:tcPr>
            <w:tcW w:w="2400" w:type="dxa"/>
          </w:tcPr>
          <w:p>
            <w:r>
              <w:t>Excluded populations, required profile fields, safety wording, and fallback behavior when profile data is incomplete.</w:t>
            </w:r>
          </w:p>
        </w:tc>
        <w:tc>
          <w:tcPr>
            <w:tcW w:w="2400" w:type="dxa"/>
          </w:tcPr>
          <w:p>
            <w:r>
              <w:t>High</w:t>
            </w:r>
          </w:p>
        </w:tc>
        <w:tc>
          <w:tcPr>
            <w:tcW w:w="2400" w:type="dxa"/>
          </w:tcPr>
          <w:p>
            <w:r>
              <w:t>Goal-based planning increases safety risk and cannot launch unrestricted.</w:t>
            </w:r>
          </w:p>
        </w:tc>
      </w:tr>
      <w:tr>
        <w:tc>
          <w:tcPr>
            <w:tcW w:w="2400" w:type="dxa"/>
          </w:tcPr>
          <w:p>
            <w:r>
              <w:t>OD-07</w:t>
            </w:r>
          </w:p>
        </w:tc>
        <w:tc>
          <w:tcPr>
            <w:tcW w:w="2400" w:type="dxa"/>
          </w:tcPr>
          <w:p>
            <w:r>
              <w:t>Expanded API contracts</w:t>
            </w:r>
          </w:p>
        </w:tc>
        <w:tc>
          <w:tcPr>
            <w:tcW w:w="2400" w:type="dxa"/>
          </w:tcPr>
          <w:p>
            <w:r>
              <w:t>Schemas for price estimate, lab interpretation, profile update, and plan generation endpoints.</w:t>
            </w:r>
          </w:p>
        </w:tc>
        <w:tc>
          <w:tcPr>
            <w:tcW w:w="2400" w:type="dxa"/>
          </w:tcPr>
          <w:p>
            <w:r>
              <w:t>High</w:t>
            </w:r>
          </w:p>
        </w:tc>
        <w:tc>
          <w:tcPr>
            <w:tcW w:w="2400" w:type="dxa"/>
          </w:tcPr>
          <w:p>
            <w:r>
              <w:t>Implementation must remain contract-first and backend-normalized.</w:t>
            </w:r>
          </w:p>
        </w:tc>
      </w:tr>
      <w:tr>
        <w:tc>
          <w:tcPr>
            <w:tcW w:w="2400" w:type="dxa"/>
          </w:tcPr>
          <w:p>
            <w:r>
              <w:t>OD-08</w:t>
            </w:r>
          </w:p>
        </w:tc>
        <w:tc>
          <w:tcPr>
            <w:tcW w:w="2400" w:type="dxa"/>
          </w:tcPr>
          <w:p>
            <w:r>
              <w:t>PRD revision</w:t>
            </w:r>
          </w:p>
        </w:tc>
        <w:tc>
          <w:tcPr>
            <w:tcW w:w="2400" w:type="dxa"/>
          </w:tcPr>
          <w:p>
            <w:r>
              <w:t>Updated scope, MVP boundaries, out-of-scope list, and acceptance criteria for the four-layer platform.</w:t>
            </w:r>
          </w:p>
        </w:tc>
        <w:tc>
          <w:tcPr>
            <w:tcW w:w="2400" w:type="dxa"/>
          </w:tcPr>
          <w:p>
            <w:r>
              <w:t>High</w:t>
            </w:r>
          </w:p>
        </w:tc>
        <w:tc>
          <w:tcPr>
            <w:tcW w:w="2400" w:type="dxa"/>
          </w:tcPr>
          <w:p>
            <w:r>
              <w:t>The new scope is materially larger than barcode, vision, and recipe assistance.</w:t>
            </w:r>
          </w:p>
        </w:tc>
      </w:tr>
    </w:tbl>
    <w:p>
      <w:r>
        <w:rPr>
          <w:b/>
        </w:rPr>
        <w:t>10. Updated out-of-scope boundaries</w:t>
      </w:r>
    </w:p>
    <w:p>
      <w:r>
        <w:t>- Diagnosis, treatment advice, supplement prescriptions, clinical urgency, and interpretation of unsupported lab panels remain out of scope.</w:t>
      </w:r>
    </w:p>
    <w:p>
      <w:r>
        <w:t>- Live market prices are out of scope unless the project has a reliable update and validation pipeline.</w:t>
      </w:r>
    </w:p>
    <w:p>
      <w:r>
        <w:t>- Full macro tracking, clinical diet therapy, unrestricted medical populations, and unrestricted longitudinal coaching remain out of scope for the current baseline.</w:t>
      </w:r>
    </w:p>
    <w:p>
      <w:r>
        <w:rPr>
          <w:b/>
        </w:rPr>
        <w:t>11. Additional immediate document updates required</w:t>
      </w:r>
    </w:p>
    <w:p>
      <w:r>
        <w:t>- Revise the PRD to state the four-layer scope and the generally healthy adult boundary for goal-based guidance.</w:t>
      </w:r>
    </w:p>
    <w:p>
      <w:r>
        <w:t>- Add contract drafts for /v1/prices/estimate, /v1/labs/interpret, /v1/profile/update, and /v1/plans/generate before backend implementation.</w:t>
      </w:r>
    </w:p>
    <w:p>
      <w:r>
        <w:t>- Define the Egyptian ingredient price validation process, supported lab-marker whitelist, and excluded user categories before feature buildout.</w:t>
      </w:r>
    </w:p>
    <w:p>
      <w:r>
        <w:rPr>
          <w:b/>
        </w:rPr>
        <w:t>12. Source basis for this revision</w:t>
      </w:r>
    </w:p>
    <w:p>
      <w:r>
        <w:t>- Existing workflow plan, proposal, execution plan, decision log, and architecture baseline.</w:t>
      </w:r>
    </w:p>
    <w:p>
      <w:r>
        <w:t>- Latest scope discussion covering ingredient price awareness, blood-test-informed micronutrient recommendations, and weight/height/goal-based nutrition plans.</w:t>
      </w:r>
    </w:p>
    <w:sectPr w:rsidR="00FC693F" w:rsidRPr="0006063C" w:rsidSect="00034616">
      <w:footerReference w:type="default" ns2:id="rId9"/>
      <w:pgSz w:w="12240" w:h="15840"/>
      <w:pgMar w:top="1152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E5E5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E5E5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" w:hAnsi="Aptos"/>
      <w:b/>
      <w:color w:val="1F4E4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80"/>
    </w:pPr>
    <w:rPr>
      <w:rFonts w:asciiTheme="majorHAnsi" w:eastAsiaTheme="majorEastAsia" w:hAnsiTheme="majorHAnsi" w:cstheme="majorBidi" w:ascii="Aptos" w:hAnsi="Aptos"/>
      <w:b w:val="0"/>
      <w:i/>
      <w:iCs/>
      <w:color w:val="5B6B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s">
    <w:name w:val="SmallCaps"/>
    <w:basedOn w:val="Normal"/>
    <w:pPr>
      <w:spacing w:after="40"/>
    </w:pPr>
    <w:rPr>
      <w:rFonts w:ascii="Aptos" w:hAnsi="Aptos"/>
      <w:smallCaps/>
      <w:color w:val="6A7A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