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Caps"/>
        <w:jc w:val="left"/>
      </w:pPr>
      <w:r>
        <w:rPr>
          <w:b/>
        </w:rPr>
        <w:t>NutriAI / Qima</w:t>
      </w:r>
    </w:p>
    <w:p>
      <w:pPr>
        <w:jc w:val="left"/>
        <w:keepNext/>
      </w:pPr>
      <w:r>
        <w:rPr>
          <w:b/>
          <w:color w:val="1F4E46"/>
          <w:sz w:val="44"/>
        </w:rPr>
        <w:t>Updated Design Decision Log</w:t>
      </w:r>
    </w:p>
    <w:p>
      <w:r>
        <w:rPr>
          <w:i/>
          <w:color w:val="5B6B6C"/>
          <w:sz w:val="22"/>
        </w:rPr>
        <w:t>Working record of confirmed, tentative, and open product and architecture decisions after the latest recipe-layer update.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4F2"/>
          </w:tcPr>
          <w:p>
            <w:r>
              <w:t>Version</w:t>
              <w:br/>
              <w:t>1.3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4F2"/>
          </w:tcPr>
          <w:p>
            <w:r>
              <w:t>Prepared on</w:t>
              <w:br/>
              <w:t>17 April 2026</w:t>
            </w:r>
          </w:p>
        </w:tc>
        <w:tc>
          <w:tcPr>
            <w:tcW w:type="dxa" w:w="38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4F2"/>
          </w:tcPr>
          <w:p>
            <w:r>
              <w:t>Status</w:t>
              <w:br/>
              <w:t>Execution baseline - updated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7FAFA"/>
          </w:tcPr>
          <w:p>
            <w:r>
              <w:t>Supersedes</w:t>
              <w:br/>
              <w:t>Version 1.2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7FAFA"/>
          </w:tcPr>
          <w:p>
            <w:r>
              <w:rPr>
                <w:b/>
                <w:color w:val="1F4E46"/>
                <w:sz w:val="17"/>
              </w:rPr>
              <w:t>Scope</w:t>
              <w:br/>
            </w:r>
            <w:r>
              <w:rPr>
                <w:color w:val="333333"/>
                <w:sz w:val="19"/>
              </w:rPr>
              <w:t>Architecture / design alignment</w:t>
            </w:r>
          </w:p>
        </w:tc>
        <w:tc>
          <w:tcPr>
            <w:tcW w:type="dxa" w:w="38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7FAFA"/>
          </w:tcPr>
          <w:p>
            <w:r>
              <w:rPr>
                <w:b/>
                <w:color w:val="1F4E46"/>
                <w:sz w:val="17"/>
              </w:rPr>
              <w:t>Audience</w:t>
              <w:br/>
            </w:r>
            <w:r>
              <w:rPr>
                <w:color w:val="333333"/>
                <w:sz w:val="19"/>
              </w:rPr>
              <w:t>Project team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EAF4F2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t>This revision keeps all previously locked stack choices and adds three explicit decisions from the latest project discussion: Groq llama-3.1-8b-instant is the main conversational LLM, the recipe layer is locked to retrieval-first grounded summary/light adaptation rather than default free-form generation, and Google Gemini 2.5 Flash is the stable multimodal vision model for the no-barcode flow.</w:t>
            </w:r>
          </w:p>
        </w:tc>
      </w:tr>
    </w:tbl>
    <w:p/>
    <w:p>
      <w:pPr>
        <w:keepNext/>
        <w:pBdr>
          <w:bottom w:val="single" w:sz="8" w:space="2" w:color="B7D7D1"/>
        </w:pBdr>
      </w:pPr>
      <w:r>
        <w:rPr>
          <w:b/>
          <w:color w:val="1F4E46"/>
          <w:sz w:val="26"/>
        </w:rPr>
        <w:t>1. Decision register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8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7ECE7"/>
          </w:tcPr>
          <w:p>
            <w:pPr>
              <w:jc w:val="left"/>
            </w:pPr>
            <w:r>
              <w:rPr>
                <w:b/>
                <w:color w:val="1F4E46"/>
                <w:sz w:val="17"/>
              </w:rPr>
              <w:t>ID</w:t>
            </w:r>
          </w:p>
        </w:tc>
        <w:tc>
          <w:tcPr>
            <w:tcW w:type="dxa" w:w="13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7ECE7"/>
          </w:tcPr>
          <w:p>
            <w:pPr>
              <w:jc w:val="left"/>
            </w:pPr>
            <w:r>
              <w:rPr>
                <w:b/>
                <w:color w:val="1F4E46"/>
                <w:sz w:val="17"/>
              </w:rPr>
              <w:t>Area</w:t>
            </w:r>
          </w:p>
        </w:tc>
        <w:tc>
          <w:tcPr>
            <w:tcW w:type="dxa" w:w="26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7ECE7"/>
          </w:tcPr>
          <w:p>
            <w:pPr>
              <w:jc w:val="center"/>
            </w:pPr>
            <w:r>
              <w:rPr>
                <w:b/>
                <w:color w:val="1F4E46"/>
                <w:sz w:val="17"/>
              </w:rPr>
              <w:t>Decision</w:t>
            </w:r>
          </w:p>
        </w:tc>
        <w:tc>
          <w:tcPr>
            <w:tcW w:type="dxa" w:w="11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7ECE7"/>
          </w:tcPr>
          <w:p>
            <w:pPr>
              <w:jc w:val="center"/>
            </w:pPr>
            <w:r>
              <w:rPr>
                <w:b/>
                <w:color w:val="1F4E46"/>
                <w:sz w:val="17"/>
              </w:rPr>
              <w:t>Status</w:t>
            </w:r>
          </w:p>
        </w:tc>
        <w:tc>
          <w:tcPr>
            <w:tcW w:type="dxa" w:w="34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7ECE7"/>
          </w:tcPr>
          <w:p>
            <w:pPr>
              <w:jc w:val="center"/>
            </w:pPr>
            <w:r>
              <w:rPr>
                <w:b/>
                <w:color w:val="1F4E46"/>
                <w:sz w:val="17"/>
              </w:rPr>
              <w:t>Rationale / note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7ECE7"/>
          </w:tcPr>
          <w:p>
            <w:pPr>
              <w:jc w:val="center"/>
            </w:pPr>
            <w:r>
              <w:rPr>
                <w:b/>
                <w:color w:val="1F4E46"/>
                <w:sz w:val="17"/>
              </w:rPr>
              <w:t>Owner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DD-01</w:t>
            </w:r>
          </w:p>
        </w:tc>
        <w:tc>
          <w:tcPr>
            <w:tcW w:type="dxa" w:w="13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Nutrition data</w:t>
            </w:r>
          </w:p>
        </w:tc>
        <w:tc>
          <w:tcPr>
            <w:tcW w:type="dxa" w:w="26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Use Kaggle Egyptian-food dataset as MVP seed for Egyptian dish nutrition facts</w:t>
            </w:r>
          </w:p>
        </w:tc>
        <w:tc>
          <w:tcPr>
            <w:tcW w:type="dxa" w:w="11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Tentative</w:t>
            </w:r>
          </w:p>
        </w:tc>
        <w:tc>
          <w:tcPr>
            <w:tcW w:type="dxa" w:w="34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Dataset still requires validation of schema, units, provenance, and licensing.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NLP/RAG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DD-02</w:t>
            </w:r>
          </w:p>
        </w:tc>
        <w:tc>
          <w:tcPr>
            <w:tcW w:type="dxa" w:w="13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Barcode lookup</w:t>
            </w:r>
          </w:p>
        </w:tc>
        <w:tc>
          <w:tcPr>
            <w:tcW w:type="dxa" w:w="26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Use Open Food Facts API as packaged-food barcode source</w:t>
            </w:r>
          </w:p>
        </w:tc>
        <w:tc>
          <w:tcPr>
            <w:tcW w:type="dxa" w:w="11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Confirmed</w:t>
            </w:r>
          </w:p>
        </w:tc>
        <w:tc>
          <w:tcPr>
            <w:tcW w:type="dxa" w:w="34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Primary packaged-food lookup path.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Backend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DD-03</w:t>
            </w:r>
          </w:p>
        </w:tc>
        <w:tc>
          <w:tcPr>
            <w:tcW w:type="dxa" w:w="13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Vision fallback</w:t>
            </w:r>
          </w:p>
        </w:tc>
        <w:tc>
          <w:tcPr>
            <w:tcW w:type="dxa" w:w="26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Use Google Gemini 2.5 Flash for foods with no barcode</w:t>
            </w:r>
          </w:p>
        </w:tc>
        <w:tc>
          <w:tcPr>
            <w:tcW w:type="dxa" w:w="11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Confirmed</w:t>
            </w:r>
          </w:p>
        </w:tc>
        <w:tc>
          <w:tcPr>
            <w:tcW w:type="dxa" w:w="34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Stable multimodal model locked; backend-owned structured JSON output contract required.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CV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DD-04</w:t>
            </w:r>
          </w:p>
        </w:tc>
        <w:tc>
          <w:tcPr>
            <w:tcW w:type="dxa" w:w="13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Product architecture</w:t>
            </w:r>
          </w:p>
        </w:tc>
        <w:tc>
          <w:tcPr>
            <w:tcW w:type="dxa" w:w="26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Retain mobile app + backend API + tool-using AI layer</w:t>
            </w:r>
          </w:p>
        </w:tc>
        <w:tc>
          <w:tcPr>
            <w:tcW w:type="dxa" w:w="11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Confirmed</w:t>
            </w:r>
          </w:p>
        </w:tc>
        <w:tc>
          <w:tcPr>
            <w:tcW w:type="dxa" w:w="34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Remains the baseline system shape.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PM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DD-05</w:t>
            </w:r>
          </w:p>
        </w:tc>
        <w:tc>
          <w:tcPr>
            <w:tcW w:type="dxa" w:w="13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Delivery model</w:t>
            </w:r>
          </w:p>
        </w:tc>
        <w:tc>
          <w:tcPr>
            <w:tcW w:type="dxa" w:w="26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Keep 12-week MVP with contract-first, parallel execution</w:t>
            </w:r>
          </w:p>
        </w:tc>
        <w:tc>
          <w:tcPr>
            <w:tcW w:type="dxa" w:w="11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Confirmed</w:t>
            </w:r>
          </w:p>
        </w:tc>
        <w:tc>
          <w:tcPr>
            <w:tcW w:type="dxa" w:w="34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No schedule reset approved.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PM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DD-06</w:t>
            </w:r>
          </w:p>
        </w:tc>
        <w:tc>
          <w:tcPr>
            <w:tcW w:type="dxa" w:w="13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API strategy</w:t>
            </w:r>
          </w:p>
        </w:tc>
        <w:tc>
          <w:tcPr>
            <w:tcW w:type="dxa" w:w="26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Use contract-first APIs and stub-driven development</w:t>
            </w:r>
          </w:p>
        </w:tc>
        <w:tc>
          <w:tcPr>
            <w:tcW w:type="dxa" w:w="11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Confirmed</w:t>
            </w:r>
          </w:p>
        </w:tc>
        <w:tc>
          <w:tcPr>
            <w:tcW w:type="dxa" w:w="34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Still required to avoid cross-team blocking.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PM/BE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DD-07</w:t>
            </w:r>
          </w:p>
        </w:tc>
        <w:tc>
          <w:tcPr>
            <w:tcW w:type="dxa" w:w="13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Recipe agent</w:t>
            </w:r>
          </w:p>
        </w:tc>
        <w:tc>
          <w:tcPr>
            <w:tcW w:type="dxa" w:w="26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Use retrieval-first recipe assistance with grounded summary/light adaptation only</w:t>
            </w:r>
          </w:p>
        </w:tc>
        <w:tc>
          <w:tcPr>
            <w:tcW w:type="dxa" w:w="11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Confirmed</w:t>
            </w:r>
          </w:p>
        </w:tc>
        <w:tc>
          <w:tcPr>
            <w:tcW w:type="dxa" w:w="34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Option B locked; default free-form recipe generation not part of the current baseline.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Backend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DD-08</w:t>
            </w:r>
          </w:p>
        </w:tc>
        <w:tc>
          <w:tcPr>
            <w:tcW w:type="dxa" w:w="13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Conversational LLM</w:t>
            </w:r>
          </w:p>
        </w:tc>
        <w:tc>
          <w:tcPr>
            <w:tcW w:type="dxa" w:w="26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Use Groq llama-3.1-8b-instant as the main conversational LLM</w:t>
            </w:r>
          </w:p>
        </w:tc>
        <w:tc>
          <w:tcPr>
            <w:tcW w:type="dxa" w:w="11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Confirmed</w:t>
            </w:r>
          </w:p>
        </w:tc>
        <w:tc>
          <w:tcPr>
            <w:tcW w:type="dxa" w:w="34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Selected for low cost, speed, and acceptable MVP capacity.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NLP/RAG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DD-09</w:t>
            </w:r>
          </w:p>
        </w:tc>
        <w:tc>
          <w:tcPr>
            <w:tcW w:type="dxa" w:w="13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Mobile framework</w:t>
            </w:r>
          </w:p>
        </w:tc>
        <w:tc>
          <w:tcPr>
            <w:tcW w:type="dxa" w:w="26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Lock mobile client to Flutter</w:t>
            </w:r>
          </w:p>
        </w:tc>
        <w:tc>
          <w:tcPr>
            <w:tcW w:type="dxa" w:w="11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Confirmed</w:t>
            </w:r>
          </w:p>
        </w:tc>
        <w:tc>
          <w:tcPr>
            <w:tcW w:type="dxa" w:w="34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Tentative state removed in the prior revision.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Mobile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DD-10</w:t>
            </w:r>
          </w:p>
        </w:tc>
        <w:tc>
          <w:tcPr>
            <w:tcW w:type="dxa" w:w="13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Nutrition grounding</w:t>
            </w:r>
          </w:p>
        </w:tc>
        <w:tc>
          <w:tcPr>
            <w:tcW w:type="dxa" w:w="26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Prefer retrieved structured data over model recall for nutrition answers</w:t>
            </w:r>
          </w:p>
        </w:tc>
        <w:tc>
          <w:tcPr>
            <w:tcW w:type="dxa" w:w="11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Confirmed</w:t>
            </w:r>
          </w:p>
        </w:tc>
        <w:tc>
          <w:tcPr>
            <w:tcW w:type="dxa" w:w="34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Needed to reduce hallucination risk.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NLP/RAG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DD-11</w:t>
            </w:r>
          </w:p>
        </w:tc>
        <w:tc>
          <w:tcPr>
            <w:tcW w:type="dxa" w:w="13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Medical boundary</w:t>
            </w:r>
          </w:p>
        </w:tc>
        <w:tc>
          <w:tcPr>
            <w:tcW w:type="dxa" w:w="26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System must not present medical advice as diagnosis or treatment</w:t>
            </w:r>
          </w:p>
        </w:tc>
        <w:tc>
          <w:tcPr>
            <w:tcW w:type="dxa" w:w="11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Confirmed</w:t>
            </w:r>
          </w:p>
        </w:tc>
        <w:tc>
          <w:tcPr>
            <w:tcW w:type="dxa" w:w="34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Hard product boundary stays in force.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PM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DD-12</w:t>
            </w:r>
          </w:p>
        </w:tc>
        <w:tc>
          <w:tcPr>
            <w:tcW w:type="dxa" w:w="13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Market focus</w:t>
            </w:r>
          </w:p>
        </w:tc>
        <w:tc>
          <w:tcPr>
            <w:tcW w:type="dxa" w:w="26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Egyptian food support is a first-class requirement</w:t>
            </w:r>
          </w:p>
        </w:tc>
        <w:tc>
          <w:tcPr>
            <w:tcW w:type="dxa" w:w="11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Confirmed</w:t>
            </w:r>
          </w:p>
        </w:tc>
        <w:tc>
          <w:tcPr>
            <w:tcW w:type="dxa" w:w="34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Localization is now core scope, not a later enhancement.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PM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DD-13</w:t>
            </w:r>
          </w:p>
        </w:tc>
        <w:tc>
          <w:tcPr>
            <w:tcW w:type="dxa" w:w="13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Backend framework</w:t>
            </w:r>
          </w:p>
        </w:tc>
        <w:tc>
          <w:tcPr>
            <w:tcW w:type="dxa" w:w="26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Lock backend API to Python + FastAPI</w:t>
            </w:r>
          </w:p>
        </w:tc>
        <w:tc>
          <w:tcPr>
            <w:tcW w:type="dxa" w:w="11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Confirmed</w:t>
            </w:r>
          </w:p>
        </w:tc>
        <w:tc>
          <w:tcPr>
            <w:tcW w:type="dxa" w:w="34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Framework choice now explicit rather than implied.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Backend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DD-14</w:t>
            </w:r>
          </w:p>
        </w:tc>
        <w:tc>
          <w:tcPr>
            <w:tcW w:type="dxa" w:w="13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Integration boundary</w:t>
            </w:r>
          </w:p>
        </w:tc>
        <w:tc>
          <w:tcPr>
            <w:tcW w:type="dxa" w:w="26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Flutter calls FastAPI only; no direct third-party API calls from the app</w:t>
            </w:r>
          </w:p>
        </w:tc>
        <w:tc>
          <w:tcPr>
            <w:tcW w:type="dxa" w:w="11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Confirmed</w:t>
            </w:r>
          </w:p>
        </w:tc>
        <w:tc>
          <w:tcPr>
            <w:tcW w:type="dxa" w:w="34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Protects secrets and centralizes normalization, caching, and vendor logic.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Backend/Mobile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DD-15</w:t>
            </w:r>
          </w:p>
        </w:tc>
        <w:tc>
          <w:tcPr>
            <w:tcW w:type="dxa" w:w="13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Secrets policy</w:t>
            </w:r>
          </w:p>
        </w:tc>
        <w:tc>
          <w:tcPr>
            <w:tcW w:type="dxa" w:w="26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API keys and provider credentials remain backend-only</w:t>
            </w:r>
          </w:p>
        </w:tc>
        <w:tc>
          <w:tcPr>
            <w:tcW w:type="dxa" w:w="11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Confirmed</w:t>
            </w:r>
          </w:p>
        </w:tc>
        <w:tc>
          <w:tcPr>
            <w:tcW w:type="dxa" w:w="34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No secrets embedded in mobile builds.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Backend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DD-16</w:t>
            </w:r>
          </w:p>
        </w:tc>
        <w:tc>
          <w:tcPr>
            <w:tcW w:type="dxa" w:w="13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Recipe dataset scope</w:t>
            </w:r>
          </w:p>
        </w:tc>
        <w:tc>
          <w:tcPr>
            <w:tcW w:type="dxa" w:w="26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Use the recipe dataset only inside the recipe layer</w:t>
            </w:r>
          </w:p>
        </w:tc>
        <w:tc>
          <w:tcPr>
            <w:tcW w:type="dxa" w:w="11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Confirmed</w:t>
            </w:r>
          </w:p>
        </w:tc>
        <w:tc>
          <w:tcPr>
            <w:tcW w:type="dxa" w:w="34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Dataset supports recipe retrieval, candidate ranking, grounded recipe assistance, and recipe discussion. It is not used in lookup or as a replacement nutrition source.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Backend/NLP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DD-17</w:t>
            </w:r>
          </w:p>
        </w:tc>
        <w:tc>
          <w:tcPr>
            <w:tcW w:type="dxa" w:w="13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Recipe interaction pattern</w:t>
            </w:r>
          </w:p>
        </w:tc>
        <w:tc>
          <w:tcPr>
            <w:tcW w:type="dxa" w:w="26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Adopt retrieval-first recipe assistance</w:t>
            </w:r>
          </w:p>
        </w:tc>
        <w:tc>
          <w:tcPr>
            <w:tcW w:type="dxa" w:w="11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Confirmed</w:t>
            </w:r>
          </w:p>
        </w:tc>
        <w:tc>
          <w:tcPr>
            <w:tcW w:type="dxa" w:w="34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The system should retrieve grounded recipe candidates before any optional adaptation step.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Backend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DD-18</w:t>
            </w:r>
          </w:p>
        </w:tc>
        <w:tc>
          <w:tcPr>
            <w:tcW w:type="dxa" w:w="13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Recipe discussion grounding</w:t>
            </w:r>
          </w:p>
        </w:tc>
        <w:tc>
          <w:tcPr>
            <w:tcW w:type="dxa" w:w="26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Recipe discussion must use retrieved recipe context</w:t>
            </w:r>
          </w:p>
        </w:tc>
        <w:tc>
          <w:tcPr>
            <w:tcW w:type="dxa" w:w="11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Confirmed</w:t>
            </w:r>
          </w:p>
        </w:tc>
        <w:tc>
          <w:tcPr>
            <w:tcW w:type="dxa" w:w="34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Follow-up recipe answers should rely on retrieved recipe rows and structured match context, not free-form model recall.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NLP/RAG</w:t>
            </w:r>
          </w:p>
        </w:tc>
      </w:tr>
      <w:tr>
        <w:tc>
          <w:tcPr>
            <w:tcW w:type="dxa" w:w="1680"/>
          </w:tcPr>
          <w:p>
            <w:r>
              <w:t>DD-19</w:t>
            </w:r>
          </w:p>
        </w:tc>
        <w:tc>
          <w:tcPr>
            <w:tcW w:type="dxa" w:w="1680"/>
          </w:tcPr>
          <w:p>
            <w:r>
              <w:t>Recipe adaptation provider</w:t>
            </w:r>
          </w:p>
        </w:tc>
        <w:tc>
          <w:tcPr>
            <w:tcW w:type="dxa" w:w="1680"/>
          </w:tcPr>
          <w:p>
            <w:r>
              <w:t>Use Groq llama-3.1-8b-instant for recipe summary/light adaptation</w:t>
            </w:r>
          </w:p>
        </w:tc>
        <w:tc>
          <w:tcPr>
            <w:tcW w:type="dxa" w:w="1680"/>
          </w:tcPr>
          <w:p>
            <w:r>
              <w:t>Confirmed</w:t>
            </w:r>
          </w:p>
        </w:tc>
        <w:tc>
          <w:tcPr>
            <w:tcW w:type="dxa" w:w="1680"/>
          </w:tcPr>
          <w:p>
            <w:r>
              <w:t>Keeps one provider path for conversational Q&amp;A and recipe adaptation.</w:t>
            </w:r>
          </w:p>
        </w:tc>
        <w:tc>
          <w:tcPr>
            <w:tcW w:type="dxa" w:w="1680"/>
          </w:tcPr>
          <w:p>
            <w:r>
              <w:t>Backend/NLP</w:t>
            </w:r>
          </w:p>
        </w:tc>
      </w:tr>
      <w:tr>
        <w:tc>
          <w:tcPr>
            <w:tcW w:type="dxa" w:w="1680"/>
          </w:tcPr>
          <w:p>
            <w:r>
              <w:t>DD-20</w:t>
            </w:r>
          </w:p>
        </w:tc>
        <w:tc>
          <w:tcPr>
            <w:tcW w:type="dxa" w:w="1680"/>
          </w:tcPr>
          <w:p>
            <w:r>
              <w:t>Vision output contract</w:t>
            </w:r>
          </w:p>
        </w:tc>
        <w:tc>
          <w:tcPr>
            <w:tcW w:type="dxa" w:w="1680"/>
          </w:tcPr>
          <w:p>
            <w:r>
              <w:t>Normalize Gemini vision output into a backend-defined structured JSON schema</w:t>
            </w:r>
          </w:p>
        </w:tc>
        <w:tc>
          <w:tcPr>
            <w:tcW w:type="dxa" w:w="1680"/>
          </w:tcPr>
          <w:p>
            <w:r>
              <w:t>Confirmed</w:t>
            </w:r>
          </w:p>
        </w:tc>
        <w:tc>
          <w:tcPr>
            <w:tcW w:type="dxa" w:w="1680"/>
          </w:tcPr>
          <w:p>
            <w:r>
              <w:t>Prevents upstream response drift from leaking into mobile or nutrition-estimation logic.</w:t>
            </w:r>
          </w:p>
        </w:tc>
        <w:tc>
          <w:tcPr>
            <w:tcW w:type="dxa" w:w="1680"/>
          </w:tcPr>
          <w:p>
            <w:r>
              <w:t>Backend/CV</w:t>
            </w:r>
          </w:p>
        </w:tc>
      </w:tr>
    </w:tbl>
    <w:p/>
    <w:p>
      <w:pPr>
        <w:keepNext/>
        <w:pBdr>
          <w:bottom w:val="single" w:sz="8" w:space="2" w:color="B7D7D1"/>
        </w:pBdr>
      </w:pPr>
      <w:r>
        <w:rPr>
          <w:b/>
          <w:color w:val="1F4E46"/>
          <w:sz w:val="26"/>
        </w:rPr>
        <w:t>2. Controlled wording corrections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592"/>
            <w:vAlign w:val="center"/>
            <w:shd w:fill="D7ECE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E46"/>
                <w:sz w:val="18"/>
              </w:rPr>
              <w:t>Topic</w:t>
            </w:r>
          </w:p>
        </w:tc>
        <w:tc>
          <w:tcPr>
            <w:tcW w:type="dxa" w:w="6912"/>
            <w:vAlign w:val="center"/>
            <w:shd w:fill="D7ECE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E46"/>
                <w:sz w:val="18"/>
              </w:rPr>
              <w:t>Current controlled wording / action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8F8"/>
          </w:tcPr>
          <w:p>
            <w:r>
              <w:t>Food API naming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Use "Open Food Facts API" rather than older variants.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8F8"/>
          </w:tcPr>
          <w:p>
            <w:r>
              <w:t>Vision model naming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Use "Google Gemini 2.5 Flash" or API model id `gemini-2.5-flash`.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8F8"/>
          </w:tcPr>
          <w:p>
            <w:r>
              <w:t>Backend stack wording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Use "Python + FastAPI backend" everywhere.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8F8"/>
          </w:tcPr>
          <w:p>
            <w:r>
              <w:t>Mobile integration wording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Use "Flutter calls backend only" everywhere.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8F8"/>
          </w:tcPr>
          <w:p>
            <w:r>
              <w:t>Recipe dataset wording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Use "recipe corpus" or "recipe dataset inside the recipe layer", not "lookup database".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8F8"/>
          </w:tcPr>
          <w:p>
            <w:r>
              <w:t>Recipe generation wording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Use "retrieval-first grounded recipe assistance with summary/light adaptation"; do not describe the current system as free-form recipe generation.</w:t>
            </w:r>
          </w:p>
        </w:tc>
      </w:tr>
      <w:tr>
        <w:tc>
          <w:tcPr>
            <w:tcW w:type="dxa" w:w="5040"/>
          </w:tcPr>
          <w:p>
            <w:r>
              <w:t>Conversational model wording</w:t>
            </w:r>
          </w:p>
        </w:tc>
        <w:tc>
          <w:tcPr>
            <w:tcW w:type="dxa" w:w="5040"/>
          </w:tcPr>
          <w:p>
            <w:r>
              <w:t>Use "Groq llama-3.1-8b-instant" as the locked conversational LLM.</w:t>
            </w:r>
          </w:p>
        </w:tc>
      </w:tr>
    </w:tbl>
    <w:p/>
    <w:p>
      <w:pPr>
        <w:keepNext/>
        <w:pBdr>
          <w:bottom w:val="single" w:sz="8" w:space="2" w:color="B7D7D1"/>
        </w:pBdr>
      </w:pPr>
      <w:r>
        <w:rPr>
          <w:b/>
          <w:color w:val="1F4E46"/>
          <w:sz w:val="26"/>
        </w:rPr>
        <w:t>3. Design implications</w:t>
      </w:r>
    </w:p>
    <w:p>
      <w:pPr>
        <w:ind w:left="288" w:hanging="216"/>
      </w:pPr>
      <w:r>
        <w:t>• The backend must expose stable mobile-facing contracts even if upstream providers change.</w:t>
      </w:r>
    </w:p>
    <w:p>
      <w:pPr>
        <w:ind w:left="288" w:hanging="216"/>
      </w:pPr>
      <w:r>
        <w:t>• Barcode and non-barcode flows should remain separate internally because their confidence and failure modes differ.</w:t>
      </w:r>
    </w:p>
    <w:p>
      <w:pPr>
        <w:ind w:left="288" w:hanging="216"/>
      </w:pPr>
      <w:r>
        <w:t>• Gemini outputs should use a structured JSON contract with dish candidates, ingredients, confidence, and source fields.</w:t>
      </w:r>
    </w:p>
    <w:p>
      <w:pPr>
        <w:ind w:left="288" w:hanging="216"/>
      </w:pPr>
      <w:r>
        <w:t>• Prompting and safety rules should now be written against the locked providers: Groq llama-3.1-8b-instant for conversational and recipe adaptation, and Gemini 2.5 Flash for vision.</w:t>
      </w:r>
    </w:p>
    <w:p>
      <w:pPr>
        <w:ind w:left="288" w:hanging="216"/>
      </w:pPr>
      <w:r>
        <w:t>• The nutrition layer must reconcile packaged products and local meal estimates through one normalized schema.</w:t>
      </w:r>
    </w:p>
    <w:p>
      <w:pPr>
        <w:ind w:left="288" w:hanging="216"/>
      </w:pPr>
      <w:r>
        <w:t>• The recipe layer must keep recipe retrieval, candidate ranking, missing-ingredient logic, and recipe discussion grounded in the recipe corpus.</w:t>
      </w:r>
    </w:p>
    <w:p>
      <w:pPr>
        <w:ind w:left="288" w:hanging="216"/>
      </w:pPr>
      <w:r>
        <w:t>• Recipe discussion should explain why a recipe was suggested, what ingredients are missing, and how the candidate could be adapted without inventing a substantially new recipe by default.</w:t>
      </w:r>
    </w:p>
    <w:p>
      <w:pPr>
        <w:keepNext/>
        <w:pBdr>
          <w:bottom w:val="single" w:sz="8" w:space="2" w:color="B7D7D1"/>
        </w:pBdr>
      </w:pPr>
      <w:r>
        <w:rPr>
          <w:b/>
          <w:color w:val="1F4E46"/>
          <w:sz w:val="26"/>
        </w:rPr>
        <w:t>4. Highest-priority open decisions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7ECE7"/>
          </w:tcPr>
          <w:p>
            <w:pPr>
              <w:jc w:val="left"/>
            </w:pPr>
            <w:r>
              <w:rPr>
                <w:b/>
                <w:color w:val="1F4E46"/>
                <w:sz w:val="17"/>
              </w:rPr>
              <w:t>ID</w:t>
            </w:r>
          </w:p>
        </w:tc>
        <w:tc>
          <w:tcPr>
            <w:tcW w:type="dxa" w:w="201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7ECE7"/>
          </w:tcPr>
          <w:p>
            <w:pPr>
              <w:jc w:val="left"/>
            </w:pPr>
            <w:r>
              <w:rPr>
                <w:b/>
                <w:color w:val="1F4E46"/>
                <w:sz w:val="17"/>
              </w:rPr>
              <w:t>Decision</w:t>
            </w:r>
          </w:p>
        </w:tc>
        <w:tc>
          <w:tcPr>
            <w:tcW w:type="dxa" w:w="33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7ECE7"/>
          </w:tcPr>
          <w:p>
            <w:pPr>
              <w:jc w:val="center"/>
            </w:pPr>
            <w:r>
              <w:rPr>
                <w:b/>
                <w:color w:val="1F4E46"/>
                <w:sz w:val="17"/>
              </w:rPr>
              <w:t>Missing detail</w:t>
            </w:r>
          </w:p>
        </w:tc>
        <w:tc>
          <w:tcPr>
            <w:tcW w:type="dxa" w:w="11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7ECE7"/>
          </w:tcPr>
          <w:p>
            <w:pPr>
              <w:jc w:val="center"/>
            </w:pPr>
            <w:r>
              <w:rPr>
                <w:b/>
                <w:color w:val="1F4E46"/>
                <w:sz w:val="17"/>
              </w:rPr>
              <w:t>Priority</w:t>
            </w:r>
          </w:p>
        </w:tc>
        <w:tc>
          <w:tcPr>
            <w:tcW w:type="dxa" w:w="230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7ECE7"/>
          </w:tcPr>
          <w:p>
            <w:pPr>
              <w:jc w:val="center"/>
            </w:pPr>
            <w:r>
              <w:rPr>
                <w:b/>
                <w:color w:val="1F4E46"/>
                <w:sz w:val="17"/>
              </w:rPr>
              <w:t>Why it matters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OD-01</w:t>
            </w:r>
          </w:p>
        </w:tc>
        <w:tc>
          <w:tcPr>
            <w:tcW w:type="dxa" w:w="201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Dataset validation</w:t>
            </w:r>
          </w:p>
        </w:tc>
        <w:tc>
          <w:tcPr>
            <w:tcW w:type="dxa" w:w="33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Schema audit, unit consistency, provenance, and license review for the Egyptian-food dataset</w:t>
            </w:r>
          </w:p>
        </w:tc>
        <w:tc>
          <w:tcPr>
            <w:tcW w:type="dxa" w:w="11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High</w:t>
            </w:r>
          </w:p>
        </w:tc>
        <w:tc>
          <w:tcPr>
            <w:tcW w:type="dxa" w:w="230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Current localized nutrition dataset cannot be treated as trusted without this.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OD-02</w:t>
            </w:r>
          </w:p>
        </w:tc>
        <w:tc>
          <w:tcPr>
            <w:tcW w:type="dxa" w:w="201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Recipe corpus preprocessing</w:t>
            </w:r>
          </w:p>
        </w:tc>
        <w:tc>
          <w:tcPr>
            <w:tcW w:type="dxa" w:w="33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Canonical ingredient vocabulary, deduplication, dietary tags, and allergen/exclusion handling</w:t>
            </w:r>
          </w:p>
        </w:tc>
        <w:tc>
          <w:tcPr>
            <w:tcW w:type="dxa" w:w="11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High</w:t>
            </w:r>
          </w:p>
        </w:tc>
        <w:tc>
          <w:tcPr>
            <w:tcW w:type="dxa" w:w="230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Affects recipe quality, grounding quality, and discussion reliability.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OD-03</w:t>
            </w:r>
          </w:p>
        </w:tc>
        <w:tc>
          <w:tcPr>
            <w:tcW w:type="dxa" w:w="201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Authentication strategy</w:t>
            </w:r>
          </w:p>
        </w:tc>
        <w:tc>
          <w:tcPr>
            <w:tcW w:type="dxa" w:w="33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Email/password vs OAuth vs guest mode, unless already decided elsewhere and not logged</w:t>
            </w:r>
          </w:p>
        </w:tc>
        <w:tc>
          <w:tcPr>
            <w:tcW w:type="dxa" w:w="11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Medium</w:t>
            </w:r>
          </w:p>
        </w:tc>
        <w:tc>
          <w:tcPr>
            <w:tcW w:type="dxa" w:w="230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Still affects backend scope and mobile onboarding flow if unresolved.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/>
          </w:p>
        </w:tc>
        <w:tc>
          <w:tcPr>
            <w:tcW w:type="dxa" w:w="201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/>
          </w:p>
        </w:tc>
        <w:tc>
          <w:tcPr>
            <w:tcW w:type="dxa" w:w="33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/>
          </w:p>
        </w:tc>
        <w:tc>
          <w:tcPr>
            <w:tcW w:type="dxa" w:w="11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/>
          </w:p>
        </w:tc>
        <w:tc>
          <w:tcPr>
            <w:tcW w:type="dxa" w:w="230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/>
          </w:p>
        </w:tc>
        <w:tc>
          <w:tcPr>
            <w:tcW w:type="dxa" w:w="201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/>
          </w:p>
        </w:tc>
        <w:tc>
          <w:tcPr>
            <w:tcW w:type="dxa" w:w="33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/>
          </w:p>
        </w:tc>
        <w:tc>
          <w:tcPr>
            <w:tcW w:type="dxa" w:w="11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/>
          </w:p>
        </w:tc>
        <w:tc>
          <w:tcPr>
            <w:tcW w:type="dxa" w:w="230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/>
          </w:p>
        </w:tc>
      </w:tr>
    </w:tbl>
    <w:p/>
    <w:p>
      <w:pPr>
        <w:keepNext/>
        <w:pBdr>
          <w:bottom w:val="single" w:sz="8" w:space="2" w:color="B7D7D1"/>
        </w:pBdr>
      </w:pPr>
      <w:r>
        <w:rPr>
          <w:b/>
          <w:color w:val="1F4E46"/>
          <w:sz w:val="26"/>
        </w:rPr>
        <w:t>5. Immediate document updates required</w:t>
      </w:r>
    </w:p>
    <w:p>
      <w:pPr>
        <w:ind w:left="288" w:hanging="216"/>
      </w:pPr>
      <w:r>
        <w:t>• Revise the PRD and sprint documents so they explicitly state Groq llama-3.1-8b-instant as the conversational LLM and recipe-adaptation model.</w:t>
      </w:r>
    </w:p>
    <w:p>
      <w:pPr>
        <w:ind w:left="288" w:hanging="216"/>
      </w:pPr>
      <w:r>
        <w:t>• Update the CV/API contracts to state Google Gemini 2.5 Flash as the locked multimodal vision model and to enforce a backend-defined JSON response schema.</w:t>
      </w:r>
    </w:p>
    <w:p>
      <w:pPr>
        <w:ind w:left="288" w:hanging="216"/>
      </w:pPr>
      <w:r>
        <w:t>• Document the backend-only integration rule in mobile and backend deliverables to prevent direct provider calls from the app.</w:t>
      </w:r>
    </w:p>
    <w:p>
      <w:pPr>
        <w:ind w:left="288" w:hanging="216"/>
      </w:pPr>
      <w:r>
        <w:t>• Add a formal dataset validation note before the Egyptian-food dataset is treated as authoritative.</w:t>
      </w:r>
    </w:p>
    <w:p>
      <w:pPr>
        <w:ind w:left="288" w:hanging="216"/>
      </w:pPr>
      <w:r>
        <w:t>• Finalize recipe corpus preprocessing standards: canonical ingredient vocabulary, deduplication, dietary tags, and exclusion handling.</w:t>
      </w:r>
    </w:p>
    <w:p>
      <w:pPr>
        <w:ind w:left="288" w:hanging="216"/>
      </w:pPr>
      <w:r>
        <w:t>• Document the recipe layer as retrieval-first grounded assistance with summary/light adaptation only; no default free-form recipe generation.</w:t>
      </w:r>
    </w:p>
    <w:p>
      <w:pPr>
        <w:ind w:left="288" w:hanging="216"/>
      </w:pPr>
      <w:r/>
    </w:p>
    <w:p>
      <w:pPr>
        <w:keepNext/>
        <w:pBdr>
          <w:bottom w:val="single" w:sz="8" w:space="2" w:color="B7D7D1"/>
        </w:pBdr>
      </w:pPr>
      <w:r>
        <w:rPr>
          <w:b/>
          <w:color w:val="1F4E46"/>
          <w:sz w:val="26"/>
        </w:rPr>
        <w:t>6. Source basis for this revision</w:t>
      </w:r>
    </w:p>
    <w:p>
      <w:pPr>
        <w:ind w:left="288" w:hanging="216"/>
      </w:pPr>
      <w:r>
        <w:t>• Prior workflow plan and proposal artifacts.</w:t>
      </w:r>
    </w:p>
    <w:p>
      <w:pPr>
        <w:ind w:left="288" w:hanging="216"/>
      </w:pPr>
      <w:r>
        <w:t>• Previous architecture baseline and decision log.</w:t>
      </w:r>
    </w:p>
    <w:p>
      <w:pPr>
        <w:ind w:left="288" w:hanging="216"/>
      </w:pPr>
      <w:r>
        <w:t>• Latest team discussion locking Groq llama-3.1-8b-instant for conversational Q&amp;A and recipe adaptation.</w:t>
      </w:r>
    </w:p>
    <w:p>
      <w:pPr>
        <w:ind w:left="288" w:hanging="216"/>
      </w:pPr>
      <w:r>
        <w:t>• Latest team discussion locking Option B for the recipe layer: retrieval-first grounded summary/light adaptation.</w:t>
      </w:r>
    </w:p>
    <w:p>
      <w:r>
        <w:t>• Latest team discussion locking Google Gemini 2.5 Flash for the no-barcode vision flow.</w:t>
      </w:r>
    </w:p>
    <w:sectPr w:rsidR="00FC693F" w:rsidRPr="0006063C" w:rsidSect="00034616">
      <w:footerReference w:type="default" r:id="rId9"/>
      <w:pgSz w:w="12240" w:h="15840"/>
      <w:pgMar w:top="1152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4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E5E5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2E5E5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ptos" w:hAnsi="Aptos"/>
      <w:b/>
      <w:color w:val="1F4E4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00" w:after="80"/>
    </w:pPr>
    <w:rPr>
      <w:rFonts w:asciiTheme="majorHAnsi" w:eastAsiaTheme="majorEastAsia" w:hAnsiTheme="majorHAnsi" w:cstheme="majorBidi" w:ascii="Aptos" w:hAnsi="Aptos"/>
      <w:b w:val="0"/>
      <w:i/>
      <w:iCs/>
      <w:color w:val="5B6B6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Caps">
    <w:name w:val="SmallCaps"/>
    <w:basedOn w:val="Normal"/>
    <w:pPr>
      <w:spacing w:after="40"/>
    </w:pPr>
    <w:rPr>
      <w:rFonts w:ascii="Aptos" w:hAnsi="Aptos"/>
      <w:smallCaps/>
      <w:color w:val="6A7A7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