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left"/>
      </w:pPr>
      <w:r>
        <w:rPr>
          <w:b/>
        </w:rPr>
        <w:t>NutriAI / Qima</w:t>
      </w:r>
    </w:p>
    <w:p>
      <w:pPr>
        <w:jc w:val="left"/>
        <w:keepNext/>
      </w:pPr>
      <w:r>
        <w:rPr>
          <w:b/>
          <w:color w:val="1F4E46"/>
          <w:sz w:val="44"/>
        </w:rPr>
        <w:t>Updated Design Decision Log</w:t>
      </w:r>
    </w:p>
    <w:p>
      <w:r>
        <w:rPr>
          <w:i/>
          <w:color w:val="5B6B6C"/>
          <w:sz w:val="22"/>
        </w:rPr>
        <w:t>Working record of confirmed, tentative, and open product and architecture decisions after the latest recipe-layer update.</w:t>
      </w:r>
    </w:p>
    <w:tbl>
      <w:tblPr>
        <w:tblW w:type="auto" w:w="0"/>
        <w:jc w:val="left"/>
        <w:tblLayout w:type="fixed"/>
        <w:tblLook w:firstColumn="1" w:firstRow="1" w:lastColumn="0" w:lastRow="0" w:noHBand="0" w:noVBand="1" w:val="04A0"/>
      </w:tblPr>
      <w:tblGrid>
        <w:gridCol w:w="3360"/>
        <w:gridCol w:w="3360"/>
        <w:gridCol w:w="3360"/>
      </w:tblGrid>
      <w:tr>
        <w:tc>
          <w:tcPr>
            <w:tcW w:type="dxa" w:w="2160"/>
            <w:vAlign w:val="center"/>
            <w:tcMar>
              <w:top w:w="70" w:type="dxa"/>
              <w:start w:w="110" w:type="dxa"/>
              <w:bottom w:w="70" w:type="dxa"/>
              <w:end w:w="110" w:type="dxa"/>
            </w:tcMar>
            <w:shd w:fill="EAF4F2"/>
          </w:tcPr>
          <w:p>
            <w:r>
              <w:rPr>
                <w:b/>
                <w:color w:val="1F4E46"/>
                <w:sz w:val="17"/>
              </w:rPr>
              <w:t>Version</w:t>
              <w:br/>
            </w:r>
            <w:r>
              <w:rPr>
                <w:color w:val="333333"/>
                <w:sz w:val="19"/>
              </w:rPr>
              <w:t>1.2</w:t>
            </w:r>
          </w:p>
        </w:tc>
        <w:tc>
          <w:tcPr>
            <w:tcW w:type="dxa" w:w="2232"/>
            <w:vAlign w:val="center"/>
            <w:tcMar>
              <w:top w:w="70" w:type="dxa"/>
              <w:start w:w="110" w:type="dxa"/>
              <w:bottom w:w="70" w:type="dxa"/>
              <w:end w:w="110" w:type="dxa"/>
            </w:tcMar>
            <w:shd w:fill="EAF4F2"/>
          </w:tcPr>
          <w:p>
            <w:r>
              <w:rPr>
                <w:b/>
                <w:color w:val="1F4E46"/>
                <w:sz w:val="17"/>
              </w:rPr>
              <w:t>Prepared on</w:t>
              <w:br/>
            </w:r>
            <w:r>
              <w:rPr>
                <w:color w:val="333333"/>
                <w:sz w:val="19"/>
              </w:rPr>
              <w:t>16 April 2026</w:t>
            </w:r>
          </w:p>
        </w:tc>
        <w:tc>
          <w:tcPr>
            <w:tcW w:type="dxa" w:w="3888"/>
            <w:vAlign w:val="center"/>
            <w:tcMar>
              <w:top w:w="70" w:type="dxa"/>
              <w:start w:w="110" w:type="dxa"/>
              <w:bottom w:w="70" w:type="dxa"/>
              <w:end w:w="110" w:type="dxa"/>
            </w:tcMar>
            <w:shd w:fill="EAF4F2"/>
          </w:tcPr>
          <w:p>
            <w:r>
              <w:rPr>
                <w:b/>
                <w:color w:val="1F4E46"/>
                <w:sz w:val="17"/>
              </w:rPr>
              <w:t>Status</w:t>
              <w:br/>
            </w:r>
            <w:r>
              <w:rPr>
                <w:color w:val="333333"/>
                <w:sz w:val="19"/>
              </w:rPr>
              <w:t>Execution baseline - updated</w:t>
            </w:r>
          </w:p>
        </w:tc>
      </w:tr>
      <w:tr>
        <w:tc>
          <w:tcPr>
            <w:tcW w:type="dxa" w:w="2160"/>
            <w:vAlign w:val="center"/>
            <w:tcMar>
              <w:top w:w="70" w:type="dxa"/>
              <w:start w:w="110" w:type="dxa"/>
              <w:bottom w:w="70" w:type="dxa"/>
              <w:end w:w="110" w:type="dxa"/>
            </w:tcMar>
            <w:shd w:fill="F7FAFA"/>
          </w:tcPr>
          <w:p>
            <w:r>
              <w:rPr>
                <w:b/>
                <w:color w:val="1F4E46"/>
                <w:sz w:val="17"/>
              </w:rPr>
              <w:t>Supersedes</w:t>
              <w:br/>
            </w:r>
            <w:r>
              <w:rPr>
                <w:color w:val="333333"/>
                <w:sz w:val="19"/>
              </w:rPr>
              <w:t>Version 1.1</w:t>
            </w:r>
          </w:p>
        </w:tc>
        <w:tc>
          <w:tcPr>
            <w:tcW w:type="dxa" w:w="2232"/>
            <w:vAlign w:val="center"/>
            <w:tcMar>
              <w:top w:w="70" w:type="dxa"/>
              <w:start w:w="110" w:type="dxa"/>
              <w:bottom w:w="70" w:type="dxa"/>
              <w:end w:w="110" w:type="dxa"/>
            </w:tcMar>
            <w:shd w:fill="F7FAFA"/>
          </w:tcPr>
          <w:p>
            <w:r>
              <w:rPr>
                <w:b/>
                <w:color w:val="1F4E46"/>
                <w:sz w:val="17"/>
              </w:rPr>
              <w:t>Scope</w:t>
              <w:br/>
            </w:r>
            <w:r>
              <w:rPr>
                <w:color w:val="333333"/>
                <w:sz w:val="19"/>
              </w:rPr>
              <w:t>Architecture / design alignment</w:t>
            </w:r>
          </w:p>
        </w:tc>
        <w:tc>
          <w:tcPr>
            <w:tcW w:type="dxa" w:w="3888"/>
            <w:vAlign w:val="center"/>
            <w:tcMar>
              <w:top w:w="70" w:type="dxa"/>
              <w:start w:w="110" w:type="dxa"/>
              <w:bottom w:w="70" w:type="dxa"/>
              <w:end w:w="110" w:type="dxa"/>
            </w:tcMar>
            <w:shd w:fill="F7FAFA"/>
          </w:tcPr>
          <w:p>
            <w:r>
              <w:rPr>
                <w:b/>
                <w:color w:val="1F4E46"/>
                <w:sz w:val="17"/>
              </w:rPr>
              <w:t>Audience</w:t>
              <w:br/>
            </w:r>
            <w:r>
              <w:rPr>
                <w:color w:val="333333"/>
                <w:sz w:val="19"/>
              </w:rPr>
              <w:t>Project team</w:t>
            </w:r>
          </w:p>
        </w:tc>
      </w:tr>
    </w:tbl>
    <w:p/>
    <w:tbl>
      <w:tblPr>
        <w:tblW w:type="auto" w:w="0"/>
        <w:jc w:val="left"/>
        <w:tblLayout w:type="fixed"/>
        <w:tblLook w:firstColumn="1" w:firstRow="1" w:lastColumn="0" w:lastRow="0" w:noHBand="0" w:noVBand="1" w:val="04A0"/>
      </w:tblPr>
      <w:tblGrid>
        <w:gridCol w:w="10080"/>
      </w:tblGrid>
      <w:tr>
        <w:tc>
          <w:tcPr>
            <w:tcW w:type="dxa" w:w="9792"/>
            <w:shd w:fill="EAF4F2"/>
            <w:tcMar>
              <w:top w:w="80" w:type="dxa"/>
              <w:start w:w="130" w:type="dxa"/>
              <w:bottom w:w="80" w:type="dxa"/>
              <w:end w:w="130" w:type="dxa"/>
            </w:tcMar>
          </w:tcPr>
          <w:p>
            <w:pPr>
              <w:jc w:val="left"/>
            </w:pPr>
            <w:r>
              <w:rPr>
                <w:color w:val="2E5E57"/>
                <w:sz w:val="19"/>
              </w:rPr>
              <w:t>This revision keeps all previously locked stack choices and adds one explicit decision: the recipe dataset is used only in the recipe layer for grounded recipe suggestion and discussion. It is not used in lookup flows and does not replace any previously agreed data source.</w:t>
            </w:r>
          </w:p>
        </w:tc>
      </w:tr>
    </w:tbl>
    <w:p/>
    <w:p>
      <w:pPr>
        <w:keepNext/>
        <w:pBdr>
          <w:bottom w:val="single" w:sz="8" w:space="2" w:color="B7D7D1"/>
        </w:pBdr>
      </w:pPr>
      <w:r>
        <w:rPr>
          <w:b/>
          <w:color w:val="1F4E46"/>
          <w:sz w:val="26"/>
        </w:rPr>
        <w:t>1. Decision register</w:t>
      </w:r>
    </w:p>
    <w:tbl>
      <w:tblPr>
        <w:tblW w:type="auto" w:w="0"/>
        <w:jc w:val="left"/>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864"/>
            <w:vAlign w:val="center"/>
            <w:tcMar>
              <w:top w:w="85" w:type="dxa"/>
              <w:start w:w="110" w:type="dxa"/>
              <w:bottom w:w="85" w:type="dxa"/>
              <w:end w:w="110" w:type="dxa"/>
            </w:tcMar>
            <w:shd w:fill="D7ECE7"/>
          </w:tcPr>
          <w:p>
            <w:pPr>
              <w:jc w:val="left"/>
            </w:pPr>
            <w:r>
              <w:rPr>
                <w:b/>
                <w:color w:val="1F4E46"/>
                <w:sz w:val="17"/>
              </w:rPr>
              <w:t>ID</w:t>
            </w:r>
          </w:p>
        </w:tc>
        <w:tc>
          <w:tcPr>
            <w:tcW w:type="dxa" w:w="1368"/>
            <w:vAlign w:val="center"/>
            <w:tcMar>
              <w:top w:w="85" w:type="dxa"/>
              <w:start w:w="110" w:type="dxa"/>
              <w:bottom w:w="85" w:type="dxa"/>
              <w:end w:w="110" w:type="dxa"/>
            </w:tcMar>
            <w:shd w:fill="D7ECE7"/>
          </w:tcPr>
          <w:p>
            <w:pPr>
              <w:jc w:val="left"/>
            </w:pPr>
            <w:r>
              <w:rPr>
                <w:b/>
                <w:color w:val="1F4E46"/>
                <w:sz w:val="17"/>
              </w:rPr>
              <w:t>Area</w:t>
            </w:r>
          </w:p>
        </w:tc>
        <w:tc>
          <w:tcPr>
            <w:tcW w:type="dxa" w:w="2664"/>
            <w:vAlign w:val="center"/>
            <w:tcMar>
              <w:top w:w="85" w:type="dxa"/>
              <w:start w:w="110" w:type="dxa"/>
              <w:bottom w:w="85" w:type="dxa"/>
              <w:end w:w="110" w:type="dxa"/>
            </w:tcMar>
            <w:shd w:fill="D7ECE7"/>
          </w:tcPr>
          <w:p>
            <w:pPr>
              <w:jc w:val="center"/>
            </w:pPr>
            <w:r>
              <w:rPr>
                <w:b/>
                <w:color w:val="1F4E46"/>
                <w:sz w:val="17"/>
              </w:rPr>
              <w:t>Decision</w:t>
            </w:r>
          </w:p>
        </w:tc>
        <w:tc>
          <w:tcPr>
            <w:tcW w:type="dxa" w:w="1152"/>
            <w:vAlign w:val="center"/>
            <w:tcMar>
              <w:top w:w="85" w:type="dxa"/>
              <w:start w:w="110" w:type="dxa"/>
              <w:bottom w:w="85" w:type="dxa"/>
              <w:end w:w="110" w:type="dxa"/>
            </w:tcMar>
            <w:shd w:fill="D7ECE7"/>
          </w:tcPr>
          <w:p>
            <w:pPr>
              <w:jc w:val="center"/>
            </w:pPr>
            <w:r>
              <w:rPr>
                <w:b/>
                <w:color w:val="1F4E46"/>
                <w:sz w:val="17"/>
              </w:rPr>
              <w:t>Status</w:t>
            </w:r>
          </w:p>
        </w:tc>
        <w:tc>
          <w:tcPr>
            <w:tcW w:type="dxa" w:w="3456"/>
            <w:vAlign w:val="center"/>
            <w:tcMar>
              <w:top w:w="85" w:type="dxa"/>
              <w:start w:w="110" w:type="dxa"/>
              <w:bottom w:w="85" w:type="dxa"/>
              <w:end w:w="110" w:type="dxa"/>
            </w:tcMar>
            <w:shd w:fill="D7ECE7"/>
          </w:tcPr>
          <w:p>
            <w:pPr>
              <w:jc w:val="center"/>
            </w:pPr>
            <w:r>
              <w:rPr>
                <w:b/>
                <w:color w:val="1F4E46"/>
                <w:sz w:val="17"/>
              </w:rPr>
              <w:t>Rationale / note</w:t>
            </w:r>
          </w:p>
        </w:tc>
        <w:tc>
          <w:tcPr>
            <w:tcW w:type="dxa" w:w="1008"/>
            <w:vAlign w:val="center"/>
            <w:tcMar>
              <w:top w:w="85" w:type="dxa"/>
              <w:start w:w="110" w:type="dxa"/>
              <w:bottom w:w="85" w:type="dxa"/>
              <w:end w:w="110" w:type="dxa"/>
            </w:tcMar>
            <w:shd w:fill="D7ECE7"/>
          </w:tcPr>
          <w:p>
            <w:pPr>
              <w:jc w:val="center"/>
            </w:pPr>
            <w:r>
              <w:rPr>
                <w:b/>
                <w:color w:val="1F4E46"/>
                <w:sz w:val="17"/>
              </w:rPr>
              <w:t>Owner</w:t>
            </w:r>
          </w:p>
        </w:tc>
      </w:tr>
      <w:tr>
        <w:trPr>
          <w:cantSplit/>
        </w:trPr>
        <w:tc>
          <w:tcPr>
            <w:tcW w:type="dxa" w:w="864"/>
            <w:vAlign w:val="center"/>
            <w:tcMar>
              <w:top w:w="85" w:type="dxa"/>
              <w:start w:w="110" w:type="dxa"/>
              <w:bottom w:w="85" w:type="dxa"/>
              <w:end w:w="110" w:type="dxa"/>
            </w:tcMar>
            <w:shd w:fill="F7FAFA"/>
          </w:tcPr>
          <w:p>
            <w:r>
              <w:rPr>
                <w:b/>
                <w:color w:val="1F4E46"/>
                <w:sz w:val="17"/>
              </w:rPr>
              <w:t>DD-01</w:t>
            </w:r>
          </w:p>
        </w:tc>
        <w:tc>
          <w:tcPr>
            <w:tcW w:type="dxa" w:w="1368"/>
            <w:vAlign w:val="center"/>
            <w:tcMar>
              <w:top w:w="85" w:type="dxa"/>
              <w:start w:w="110" w:type="dxa"/>
              <w:bottom w:w="85" w:type="dxa"/>
              <w:end w:w="110" w:type="dxa"/>
            </w:tcMar>
          </w:tcPr>
          <w:p>
            <w:r>
              <w:rPr>
                <w:sz w:val="17"/>
              </w:rPr>
              <w:t>Nutrition data</w:t>
            </w:r>
          </w:p>
        </w:tc>
        <w:tc>
          <w:tcPr>
            <w:tcW w:type="dxa" w:w="2664"/>
            <w:vAlign w:val="center"/>
            <w:tcMar>
              <w:top w:w="85" w:type="dxa"/>
              <w:start w:w="110" w:type="dxa"/>
              <w:bottom w:w="85" w:type="dxa"/>
              <w:end w:w="110" w:type="dxa"/>
            </w:tcMar>
          </w:tcPr>
          <w:p>
            <w:r>
              <w:rPr>
                <w:sz w:val="17"/>
              </w:rPr>
              <w:t>Use Kaggle Egyptian-food dataset as MVP seed for Egyptian dish nutrition facts</w:t>
            </w:r>
          </w:p>
        </w:tc>
        <w:tc>
          <w:tcPr>
            <w:tcW w:type="dxa" w:w="1152"/>
            <w:vAlign w:val="center"/>
            <w:tcMar>
              <w:top w:w="85" w:type="dxa"/>
              <w:start w:w="110" w:type="dxa"/>
              <w:bottom w:w="85" w:type="dxa"/>
              <w:end w:w="110" w:type="dxa"/>
            </w:tcMar>
          </w:tcPr>
          <w:p>
            <w:pPr>
              <w:jc w:val="center"/>
            </w:pPr>
            <w:r>
              <w:rPr>
                <w:sz w:val="17"/>
              </w:rPr>
              <w:t>Tentative</w:t>
            </w:r>
          </w:p>
        </w:tc>
        <w:tc>
          <w:tcPr>
            <w:tcW w:type="dxa" w:w="3456"/>
            <w:vAlign w:val="center"/>
            <w:tcMar>
              <w:top w:w="85" w:type="dxa"/>
              <w:start w:w="110" w:type="dxa"/>
              <w:bottom w:w="85" w:type="dxa"/>
              <w:end w:w="110" w:type="dxa"/>
            </w:tcMar>
          </w:tcPr>
          <w:p>
            <w:r>
              <w:rPr>
                <w:sz w:val="17"/>
              </w:rPr>
              <w:t>Dataset still requires validation of schema, units, provenance, and licensing.</w:t>
            </w:r>
          </w:p>
        </w:tc>
        <w:tc>
          <w:tcPr>
            <w:tcW w:type="dxa" w:w="1008"/>
            <w:vAlign w:val="center"/>
            <w:tcMar>
              <w:top w:w="85" w:type="dxa"/>
              <w:start w:w="110" w:type="dxa"/>
              <w:bottom w:w="85" w:type="dxa"/>
              <w:end w:w="110" w:type="dxa"/>
            </w:tcMar>
          </w:tcPr>
          <w:p>
            <w:pPr>
              <w:jc w:val="center"/>
            </w:pPr>
            <w:r>
              <w:rPr>
                <w:sz w:val="17"/>
              </w:rPr>
              <w:t>NLP/RAG</w:t>
            </w:r>
          </w:p>
        </w:tc>
      </w:tr>
      <w:tr>
        <w:trPr>
          <w:cantSplit/>
        </w:trPr>
        <w:tc>
          <w:tcPr>
            <w:tcW w:type="dxa" w:w="864"/>
            <w:vAlign w:val="center"/>
            <w:tcMar>
              <w:top w:w="85" w:type="dxa"/>
              <w:start w:w="110" w:type="dxa"/>
              <w:bottom w:w="85" w:type="dxa"/>
              <w:end w:w="110" w:type="dxa"/>
            </w:tcMar>
            <w:shd w:fill="F7FAFA"/>
          </w:tcPr>
          <w:p>
            <w:r>
              <w:rPr>
                <w:b/>
                <w:color w:val="1F4E46"/>
                <w:sz w:val="17"/>
              </w:rPr>
              <w:t>DD-02</w:t>
            </w:r>
          </w:p>
        </w:tc>
        <w:tc>
          <w:tcPr>
            <w:tcW w:type="dxa" w:w="1368"/>
            <w:vAlign w:val="center"/>
            <w:tcMar>
              <w:top w:w="85" w:type="dxa"/>
              <w:start w:w="110" w:type="dxa"/>
              <w:bottom w:w="85" w:type="dxa"/>
              <w:end w:w="110" w:type="dxa"/>
            </w:tcMar>
          </w:tcPr>
          <w:p>
            <w:r>
              <w:rPr>
                <w:sz w:val="17"/>
              </w:rPr>
              <w:t>Barcode lookup</w:t>
            </w:r>
          </w:p>
        </w:tc>
        <w:tc>
          <w:tcPr>
            <w:tcW w:type="dxa" w:w="2664"/>
            <w:vAlign w:val="center"/>
            <w:tcMar>
              <w:top w:w="85" w:type="dxa"/>
              <w:start w:w="110" w:type="dxa"/>
              <w:bottom w:w="85" w:type="dxa"/>
              <w:end w:w="110" w:type="dxa"/>
            </w:tcMar>
          </w:tcPr>
          <w:p>
            <w:r>
              <w:rPr>
                <w:sz w:val="17"/>
              </w:rPr>
              <w:t>Use Open Food Facts API as packaged-food barcode source</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Primary packaged-food lookup path.</w:t>
            </w:r>
          </w:p>
        </w:tc>
        <w:tc>
          <w:tcPr>
            <w:tcW w:type="dxa" w:w="1008"/>
            <w:vAlign w:val="center"/>
            <w:tcMar>
              <w:top w:w="85" w:type="dxa"/>
              <w:start w:w="110" w:type="dxa"/>
              <w:bottom w:w="85" w:type="dxa"/>
              <w:end w:w="110" w:type="dxa"/>
            </w:tcMar>
          </w:tcPr>
          <w:p>
            <w:pPr>
              <w:jc w:val="center"/>
            </w:pPr>
            <w:r>
              <w:rPr>
                <w:sz w:val="17"/>
              </w:rPr>
              <w:t>Backend</w:t>
            </w:r>
          </w:p>
        </w:tc>
      </w:tr>
      <w:tr>
        <w:trPr>
          <w:cantSplit/>
        </w:trPr>
        <w:tc>
          <w:tcPr>
            <w:tcW w:type="dxa" w:w="864"/>
            <w:vAlign w:val="center"/>
            <w:tcMar>
              <w:top w:w="85" w:type="dxa"/>
              <w:start w:w="110" w:type="dxa"/>
              <w:bottom w:w="85" w:type="dxa"/>
              <w:end w:w="110" w:type="dxa"/>
            </w:tcMar>
            <w:shd w:fill="F7FAFA"/>
          </w:tcPr>
          <w:p>
            <w:r>
              <w:rPr>
                <w:b/>
                <w:color w:val="1F4E46"/>
                <w:sz w:val="17"/>
              </w:rPr>
              <w:t>DD-03</w:t>
            </w:r>
          </w:p>
        </w:tc>
        <w:tc>
          <w:tcPr>
            <w:tcW w:type="dxa" w:w="1368"/>
            <w:vAlign w:val="center"/>
            <w:tcMar>
              <w:top w:w="85" w:type="dxa"/>
              <w:start w:w="110" w:type="dxa"/>
              <w:bottom w:w="85" w:type="dxa"/>
              <w:end w:w="110" w:type="dxa"/>
            </w:tcMar>
          </w:tcPr>
          <w:p>
            <w:r>
              <w:rPr>
                <w:sz w:val="17"/>
              </w:rPr>
              <w:t>Vision fallback</w:t>
            </w:r>
          </w:p>
        </w:tc>
        <w:tc>
          <w:tcPr>
            <w:tcW w:type="dxa" w:w="2664"/>
            <w:vAlign w:val="center"/>
            <w:tcMar>
              <w:top w:w="85" w:type="dxa"/>
              <w:start w:w="110" w:type="dxa"/>
              <w:bottom w:w="85" w:type="dxa"/>
              <w:end w:w="110" w:type="dxa"/>
            </w:tcMar>
          </w:tcPr>
          <w:p>
            <w:r>
              <w:rPr>
                <w:sz w:val="17"/>
              </w:rPr>
              <w:t>Use Gemini Flash family for foods with no barcode</w:t>
            </w:r>
          </w:p>
        </w:tc>
        <w:tc>
          <w:tcPr>
            <w:tcW w:type="dxa" w:w="1152"/>
            <w:vAlign w:val="center"/>
            <w:tcMar>
              <w:top w:w="85" w:type="dxa"/>
              <w:start w:w="110" w:type="dxa"/>
              <w:bottom w:w="85" w:type="dxa"/>
              <w:end w:w="110" w:type="dxa"/>
            </w:tcMar>
          </w:tcPr>
          <w:p>
            <w:pPr>
              <w:jc w:val="center"/>
            </w:pPr>
            <w:r>
              <w:rPr>
                <w:sz w:val="17"/>
              </w:rPr>
              <w:t>Tentative</w:t>
            </w:r>
          </w:p>
        </w:tc>
        <w:tc>
          <w:tcPr>
            <w:tcW w:type="dxa" w:w="3456"/>
            <w:vAlign w:val="center"/>
            <w:tcMar>
              <w:top w:w="85" w:type="dxa"/>
              <w:start w:w="110" w:type="dxa"/>
              <w:bottom w:w="85" w:type="dxa"/>
              <w:end w:w="110" w:type="dxa"/>
            </w:tcMar>
          </w:tcPr>
          <w:p>
            <w:r>
              <w:rPr>
                <w:sz w:val="17"/>
              </w:rPr>
              <w:t>Model family chosen; exact model ID and output contract still open.</w:t>
            </w:r>
          </w:p>
        </w:tc>
        <w:tc>
          <w:tcPr>
            <w:tcW w:type="dxa" w:w="1008"/>
            <w:vAlign w:val="center"/>
            <w:tcMar>
              <w:top w:w="85" w:type="dxa"/>
              <w:start w:w="110" w:type="dxa"/>
              <w:bottom w:w="85" w:type="dxa"/>
              <w:end w:w="110" w:type="dxa"/>
            </w:tcMar>
          </w:tcPr>
          <w:p>
            <w:pPr>
              <w:jc w:val="center"/>
            </w:pPr>
            <w:r>
              <w:rPr>
                <w:sz w:val="17"/>
              </w:rPr>
              <w:t>CV</w:t>
            </w:r>
          </w:p>
        </w:tc>
      </w:tr>
      <w:tr>
        <w:trPr>
          <w:cantSplit/>
        </w:trPr>
        <w:tc>
          <w:tcPr>
            <w:tcW w:type="dxa" w:w="864"/>
            <w:vAlign w:val="center"/>
            <w:tcMar>
              <w:top w:w="85" w:type="dxa"/>
              <w:start w:w="110" w:type="dxa"/>
              <w:bottom w:w="85" w:type="dxa"/>
              <w:end w:w="110" w:type="dxa"/>
            </w:tcMar>
            <w:shd w:fill="F7FAFA"/>
          </w:tcPr>
          <w:p>
            <w:r>
              <w:rPr>
                <w:b/>
                <w:color w:val="1F4E46"/>
                <w:sz w:val="17"/>
              </w:rPr>
              <w:t>DD-04</w:t>
            </w:r>
          </w:p>
        </w:tc>
        <w:tc>
          <w:tcPr>
            <w:tcW w:type="dxa" w:w="1368"/>
            <w:vAlign w:val="center"/>
            <w:tcMar>
              <w:top w:w="85" w:type="dxa"/>
              <w:start w:w="110" w:type="dxa"/>
              <w:bottom w:w="85" w:type="dxa"/>
              <w:end w:w="110" w:type="dxa"/>
            </w:tcMar>
          </w:tcPr>
          <w:p>
            <w:r>
              <w:rPr>
                <w:sz w:val="17"/>
              </w:rPr>
              <w:t>Product architecture</w:t>
            </w:r>
          </w:p>
        </w:tc>
        <w:tc>
          <w:tcPr>
            <w:tcW w:type="dxa" w:w="2664"/>
            <w:vAlign w:val="center"/>
            <w:tcMar>
              <w:top w:w="85" w:type="dxa"/>
              <w:start w:w="110" w:type="dxa"/>
              <w:bottom w:w="85" w:type="dxa"/>
              <w:end w:w="110" w:type="dxa"/>
            </w:tcMar>
          </w:tcPr>
          <w:p>
            <w:r>
              <w:rPr>
                <w:sz w:val="17"/>
              </w:rPr>
              <w:t>Retain mobile app + backend API + tool-using AI layer</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Remains the baseline system shape.</w:t>
            </w:r>
          </w:p>
        </w:tc>
        <w:tc>
          <w:tcPr>
            <w:tcW w:type="dxa" w:w="1008"/>
            <w:vAlign w:val="center"/>
            <w:tcMar>
              <w:top w:w="85" w:type="dxa"/>
              <w:start w:w="110" w:type="dxa"/>
              <w:bottom w:w="85" w:type="dxa"/>
              <w:end w:w="110" w:type="dxa"/>
            </w:tcMar>
          </w:tcPr>
          <w:p>
            <w:pPr>
              <w:jc w:val="center"/>
            </w:pPr>
            <w:r>
              <w:rPr>
                <w:sz w:val="17"/>
              </w:rPr>
              <w:t>PM</w:t>
            </w:r>
          </w:p>
        </w:tc>
      </w:tr>
      <w:tr>
        <w:trPr>
          <w:cantSplit/>
        </w:trPr>
        <w:tc>
          <w:tcPr>
            <w:tcW w:type="dxa" w:w="864"/>
            <w:vAlign w:val="center"/>
            <w:tcMar>
              <w:top w:w="85" w:type="dxa"/>
              <w:start w:w="110" w:type="dxa"/>
              <w:bottom w:w="85" w:type="dxa"/>
              <w:end w:w="110" w:type="dxa"/>
            </w:tcMar>
            <w:shd w:fill="F7FAFA"/>
          </w:tcPr>
          <w:p>
            <w:r>
              <w:rPr>
                <w:b/>
                <w:color w:val="1F4E46"/>
                <w:sz w:val="17"/>
              </w:rPr>
              <w:t>DD-05</w:t>
            </w:r>
          </w:p>
        </w:tc>
        <w:tc>
          <w:tcPr>
            <w:tcW w:type="dxa" w:w="1368"/>
            <w:vAlign w:val="center"/>
            <w:tcMar>
              <w:top w:w="85" w:type="dxa"/>
              <w:start w:w="110" w:type="dxa"/>
              <w:bottom w:w="85" w:type="dxa"/>
              <w:end w:w="110" w:type="dxa"/>
            </w:tcMar>
          </w:tcPr>
          <w:p>
            <w:r>
              <w:rPr>
                <w:sz w:val="17"/>
              </w:rPr>
              <w:t>Delivery model</w:t>
            </w:r>
          </w:p>
        </w:tc>
        <w:tc>
          <w:tcPr>
            <w:tcW w:type="dxa" w:w="2664"/>
            <w:vAlign w:val="center"/>
            <w:tcMar>
              <w:top w:w="85" w:type="dxa"/>
              <w:start w:w="110" w:type="dxa"/>
              <w:bottom w:w="85" w:type="dxa"/>
              <w:end w:w="110" w:type="dxa"/>
            </w:tcMar>
          </w:tcPr>
          <w:p>
            <w:r>
              <w:rPr>
                <w:sz w:val="17"/>
              </w:rPr>
              <w:t>Keep 12-week MVP with contract-first, parallel execution</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No schedule reset approved.</w:t>
            </w:r>
          </w:p>
        </w:tc>
        <w:tc>
          <w:tcPr>
            <w:tcW w:type="dxa" w:w="1008"/>
            <w:vAlign w:val="center"/>
            <w:tcMar>
              <w:top w:w="85" w:type="dxa"/>
              <w:start w:w="110" w:type="dxa"/>
              <w:bottom w:w="85" w:type="dxa"/>
              <w:end w:w="110" w:type="dxa"/>
            </w:tcMar>
          </w:tcPr>
          <w:p>
            <w:pPr>
              <w:jc w:val="center"/>
            </w:pPr>
            <w:r>
              <w:rPr>
                <w:sz w:val="17"/>
              </w:rPr>
              <w:t>PM</w:t>
            </w:r>
          </w:p>
        </w:tc>
      </w:tr>
      <w:tr>
        <w:trPr>
          <w:cantSplit/>
        </w:trPr>
        <w:tc>
          <w:tcPr>
            <w:tcW w:type="dxa" w:w="864"/>
            <w:vAlign w:val="center"/>
            <w:tcMar>
              <w:top w:w="85" w:type="dxa"/>
              <w:start w:w="110" w:type="dxa"/>
              <w:bottom w:w="85" w:type="dxa"/>
              <w:end w:w="110" w:type="dxa"/>
            </w:tcMar>
            <w:shd w:fill="F7FAFA"/>
          </w:tcPr>
          <w:p>
            <w:r>
              <w:rPr>
                <w:b/>
                <w:color w:val="1F4E46"/>
                <w:sz w:val="17"/>
              </w:rPr>
              <w:t>DD-06</w:t>
            </w:r>
          </w:p>
        </w:tc>
        <w:tc>
          <w:tcPr>
            <w:tcW w:type="dxa" w:w="1368"/>
            <w:vAlign w:val="center"/>
            <w:tcMar>
              <w:top w:w="85" w:type="dxa"/>
              <w:start w:w="110" w:type="dxa"/>
              <w:bottom w:w="85" w:type="dxa"/>
              <w:end w:w="110" w:type="dxa"/>
            </w:tcMar>
          </w:tcPr>
          <w:p>
            <w:r>
              <w:rPr>
                <w:sz w:val="17"/>
              </w:rPr>
              <w:t>API strategy</w:t>
            </w:r>
          </w:p>
        </w:tc>
        <w:tc>
          <w:tcPr>
            <w:tcW w:type="dxa" w:w="2664"/>
            <w:vAlign w:val="center"/>
            <w:tcMar>
              <w:top w:w="85" w:type="dxa"/>
              <w:start w:w="110" w:type="dxa"/>
              <w:bottom w:w="85" w:type="dxa"/>
              <w:end w:w="110" w:type="dxa"/>
            </w:tcMar>
          </w:tcPr>
          <w:p>
            <w:r>
              <w:rPr>
                <w:sz w:val="17"/>
              </w:rPr>
              <w:t>Use contract-first APIs and stub-driven development</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Still required to avoid cross-team blocking.</w:t>
            </w:r>
          </w:p>
        </w:tc>
        <w:tc>
          <w:tcPr>
            <w:tcW w:type="dxa" w:w="1008"/>
            <w:vAlign w:val="center"/>
            <w:tcMar>
              <w:top w:w="85" w:type="dxa"/>
              <w:start w:w="110" w:type="dxa"/>
              <w:bottom w:w="85" w:type="dxa"/>
              <w:end w:w="110" w:type="dxa"/>
            </w:tcMar>
          </w:tcPr>
          <w:p>
            <w:pPr>
              <w:jc w:val="center"/>
            </w:pPr>
            <w:r>
              <w:rPr>
                <w:sz w:val="17"/>
              </w:rPr>
              <w:t>PM/BE</w:t>
            </w:r>
          </w:p>
        </w:tc>
      </w:tr>
      <w:tr>
        <w:trPr>
          <w:cantSplit/>
        </w:trPr>
        <w:tc>
          <w:tcPr>
            <w:tcW w:type="dxa" w:w="864"/>
            <w:vAlign w:val="center"/>
            <w:tcMar>
              <w:top w:w="85" w:type="dxa"/>
              <w:start w:w="110" w:type="dxa"/>
              <w:bottom w:w="85" w:type="dxa"/>
              <w:end w:w="110" w:type="dxa"/>
            </w:tcMar>
            <w:shd w:fill="F7FAFA"/>
          </w:tcPr>
          <w:p>
            <w:r>
              <w:rPr>
                <w:b/>
                <w:color w:val="1F4E46"/>
                <w:sz w:val="17"/>
              </w:rPr>
              <w:t>DD-07</w:t>
            </w:r>
          </w:p>
        </w:tc>
        <w:tc>
          <w:tcPr>
            <w:tcW w:type="dxa" w:w="1368"/>
            <w:vAlign w:val="center"/>
            <w:tcMar>
              <w:top w:w="85" w:type="dxa"/>
              <w:start w:w="110" w:type="dxa"/>
              <w:bottom w:w="85" w:type="dxa"/>
              <w:end w:w="110" w:type="dxa"/>
            </w:tcMar>
          </w:tcPr>
          <w:p>
            <w:r>
              <w:rPr>
                <w:sz w:val="17"/>
              </w:rPr>
              <w:t>Recipe agent</w:t>
            </w:r>
          </w:p>
        </w:tc>
        <w:tc>
          <w:tcPr>
            <w:tcW w:type="dxa" w:w="2664"/>
            <w:vAlign w:val="center"/>
            <w:tcMar>
              <w:top w:w="85" w:type="dxa"/>
              <w:start w:w="110" w:type="dxa"/>
              <w:bottom w:w="85" w:type="dxa"/>
              <w:end w:w="110" w:type="dxa"/>
            </w:tcMar>
          </w:tcPr>
          <w:p>
            <w:r>
              <w:rPr>
                <w:sz w:val="17"/>
              </w:rPr>
              <w:t>Recipe generator approach not selected yet</w:t>
            </w:r>
          </w:p>
        </w:tc>
        <w:tc>
          <w:tcPr>
            <w:tcW w:type="dxa" w:w="1152"/>
            <w:vAlign w:val="center"/>
            <w:tcMar>
              <w:top w:w="85" w:type="dxa"/>
              <w:start w:w="110" w:type="dxa"/>
              <w:bottom w:w="85" w:type="dxa"/>
              <w:end w:w="110" w:type="dxa"/>
            </w:tcMar>
          </w:tcPr>
          <w:p>
            <w:pPr>
              <w:jc w:val="center"/>
            </w:pPr>
            <w:r>
              <w:rPr>
                <w:sz w:val="17"/>
              </w:rPr>
              <w:t>Open</w:t>
            </w:r>
          </w:p>
        </w:tc>
        <w:tc>
          <w:tcPr>
            <w:tcW w:type="dxa" w:w="3456"/>
            <w:vAlign w:val="center"/>
            <w:tcMar>
              <w:top w:w="85" w:type="dxa"/>
              <w:start w:w="110" w:type="dxa"/>
              <w:bottom w:w="85" w:type="dxa"/>
              <w:end w:w="110" w:type="dxa"/>
            </w:tcMar>
          </w:tcPr>
          <w:p>
            <w:r>
              <w:rPr>
                <w:sz w:val="17"/>
              </w:rPr>
              <w:t>Provider, architecture, and evaluation criteria missing.</w:t>
            </w:r>
          </w:p>
        </w:tc>
        <w:tc>
          <w:tcPr>
            <w:tcW w:type="dxa" w:w="1008"/>
            <w:vAlign w:val="center"/>
            <w:tcMar>
              <w:top w:w="85" w:type="dxa"/>
              <w:start w:w="110" w:type="dxa"/>
              <w:bottom w:w="85" w:type="dxa"/>
              <w:end w:w="110" w:type="dxa"/>
            </w:tcMar>
          </w:tcPr>
          <w:p>
            <w:pPr>
              <w:jc w:val="center"/>
            </w:pPr>
            <w:r>
              <w:rPr>
                <w:sz w:val="17"/>
              </w:rPr>
              <w:t>Backend</w:t>
            </w:r>
          </w:p>
        </w:tc>
      </w:tr>
      <w:tr>
        <w:trPr>
          <w:cantSplit/>
        </w:trPr>
        <w:tc>
          <w:tcPr>
            <w:tcW w:type="dxa" w:w="864"/>
            <w:vAlign w:val="center"/>
            <w:tcMar>
              <w:top w:w="85" w:type="dxa"/>
              <w:start w:w="110" w:type="dxa"/>
              <w:bottom w:w="85" w:type="dxa"/>
              <w:end w:w="110" w:type="dxa"/>
            </w:tcMar>
            <w:shd w:fill="F7FAFA"/>
          </w:tcPr>
          <w:p>
            <w:r>
              <w:rPr>
                <w:b/>
                <w:color w:val="1F4E46"/>
                <w:sz w:val="17"/>
              </w:rPr>
              <w:t>DD-08</w:t>
            </w:r>
          </w:p>
        </w:tc>
        <w:tc>
          <w:tcPr>
            <w:tcW w:type="dxa" w:w="1368"/>
            <w:vAlign w:val="center"/>
            <w:tcMar>
              <w:top w:w="85" w:type="dxa"/>
              <w:start w:w="110" w:type="dxa"/>
              <w:bottom w:w="85" w:type="dxa"/>
              <w:end w:w="110" w:type="dxa"/>
            </w:tcMar>
          </w:tcPr>
          <w:p>
            <w:r>
              <w:rPr>
                <w:sz w:val="17"/>
              </w:rPr>
              <w:t>Conversational LLM</w:t>
            </w:r>
          </w:p>
        </w:tc>
        <w:tc>
          <w:tcPr>
            <w:tcW w:type="dxa" w:w="2664"/>
            <w:vAlign w:val="center"/>
            <w:tcMar>
              <w:top w:w="85" w:type="dxa"/>
              <w:start w:w="110" w:type="dxa"/>
              <w:bottom w:w="85" w:type="dxa"/>
              <w:end w:w="110" w:type="dxa"/>
            </w:tcMar>
          </w:tcPr>
          <w:p>
            <w:r>
              <w:rPr>
                <w:sz w:val="17"/>
              </w:rPr>
              <w:t>Main conversational LLM not selected yet</w:t>
            </w:r>
          </w:p>
        </w:tc>
        <w:tc>
          <w:tcPr>
            <w:tcW w:type="dxa" w:w="1152"/>
            <w:vAlign w:val="center"/>
            <w:tcMar>
              <w:top w:w="85" w:type="dxa"/>
              <w:start w:w="110" w:type="dxa"/>
              <w:bottom w:w="85" w:type="dxa"/>
              <w:end w:w="110" w:type="dxa"/>
            </w:tcMar>
          </w:tcPr>
          <w:p>
            <w:pPr>
              <w:jc w:val="center"/>
            </w:pPr>
            <w:r>
              <w:rPr>
                <w:sz w:val="17"/>
              </w:rPr>
              <w:t>Open</w:t>
            </w:r>
          </w:p>
        </w:tc>
        <w:tc>
          <w:tcPr>
            <w:tcW w:type="dxa" w:w="3456"/>
            <w:vAlign w:val="center"/>
            <w:tcMar>
              <w:top w:w="85" w:type="dxa"/>
              <w:start w:w="110" w:type="dxa"/>
              <w:bottom w:w="85" w:type="dxa"/>
              <w:end w:w="110" w:type="dxa"/>
            </w:tcMar>
          </w:tcPr>
          <w:p>
            <w:r>
              <w:rPr>
                <w:sz w:val="17"/>
              </w:rPr>
              <w:t>Needed for Q&amp;A, comparison summaries, and fallback reasoning.</w:t>
            </w:r>
          </w:p>
        </w:tc>
        <w:tc>
          <w:tcPr>
            <w:tcW w:type="dxa" w:w="1008"/>
            <w:vAlign w:val="center"/>
            <w:tcMar>
              <w:top w:w="85" w:type="dxa"/>
              <w:start w:w="110" w:type="dxa"/>
              <w:bottom w:w="85" w:type="dxa"/>
              <w:end w:w="110" w:type="dxa"/>
            </w:tcMar>
          </w:tcPr>
          <w:p>
            <w:pPr>
              <w:jc w:val="center"/>
            </w:pPr>
            <w:r>
              <w:rPr>
                <w:sz w:val="17"/>
              </w:rPr>
              <w:t>NLP/RAG</w:t>
            </w:r>
          </w:p>
        </w:tc>
      </w:tr>
      <w:tr>
        <w:trPr>
          <w:cantSplit/>
        </w:trPr>
        <w:tc>
          <w:tcPr>
            <w:tcW w:type="dxa" w:w="864"/>
            <w:vAlign w:val="center"/>
            <w:tcMar>
              <w:top w:w="85" w:type="dxa"/>
              <w:start w:w="110" w:type="dxa"/>
              <w:bottom w:w="85" w:type="dxa"/>
              <w:end w:w="110" w:type="dxa"/>
            </w:tcMar>
            <w:shd w:fill="F7FAFA"/>
          </w:tcPr>
          <w:p>
            <w:r>
              <w:rPr>
                <w:b/>
                <w:color w:val="1F4E46"/>
                <w:sz w:val="17"/>
              </w:rPr>
              <w:t>DD-09</w:t>
            </w:r>
          </w:p>
        </w:tc>
        <w:tc>
          <w:tcPr>
            <w:tcW w:type="dxa" w:w="1368"/>
            <w:vAlign w:val="center"/>
            <w:tcMar>
              <w:top w:w="85" w:type="dxa"/>
              <w:start w:w="110" w:type="dxa"/>
              <w:bottom w:w="85" w:type="dxa"/>
              <w:end w:w="110" w:type="dxa"/>
            </w:tcMar>
          </w:tcPr>
          <w:p>
            <w:r>
              <w:rPr>
                <w:sz w:val="17"/>
              </w:rPr>
              <w:t>Mobile framework</w:t>
            </w:r>
          </w:p>
        </w:tc>
        <w:tc>
          <w:tcPr>
            <w:tcW w:type="dxa" w:w="2664"/>
            <w:vAlign w:val="center"/>
            <w:tcMar>
              <w:top w:w="85" w:type="dxa"/>
              <w:start w:w="110" w:type="dxa"/>
              <w:bottom w:w="85" w:type="dxa"/>
              <w:end w:w="110" w:type="dxa"/>
            </w:tcMar>
          </w:tcPr>
          <w:p>
            <w:r>
              <w:rPr>
                <w:sz w:val="17"/>
              </w:rPr>
              <w:t>Lock mobile client to Flutter</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Tentative state removed in the prior revision.</w:t>
            </w:r>
          </w:p>
        </w:tc>
        <w:tc>
          <w:tcPr>
            <w:tcW w:type="dxa" w:w="1008"/>
            <w:vAlign w:val="center"/>
            <w:tcMar>
              <w:top w:w="85" w:type="dxa"/>
              <w:start w:w="110" w:type="dxa"/>
              <w:bottom w:w="85" w:type="dxa"/>
              <w:end w:w="110" w:type="dxa"/>
            </w:tcMar>
          </w:tcPr>
          <w:p>
            <w:pPr>
              <w:jc w:val="center"/>
            </w:pPr>
            <w:r>
              <w:rPr>
                <w:sz w:val="17"/>
              </w:rPr>
              <w:t>Mobile</w:t>
            </w:r>
          </w:p>
        </w:tc>
      </w:tr>
      <w:tr>
        <w:trPr>
          <w:cantSplit/>
        </w:trPr>
        <w:tc>
          <w:tcPr>
            <w:tcW w:type="dxa" w:w="864"/>
            <w:vAlign w:val="center"/>
            <w:tcMar>
              <w:top w:w="85" w:type="dxa"/>
              <w:start w:w="110" w:type="dxa"/>
              <w:bottom w:w="85" w:type="dxa"/>
              <w:end w:w="110" w:type="dxa"/>
            </w:tcMar>
            <w:shd w:fill="F7FAFA"/>
          </w:tcPr>
          <w:p>
            <w:r>
              <w:rPr>
                <w:b/>
                <w:color w:val="1F4E46"/>
                <w:sz w:val="17"/>
              </w:rPr>
              <w:t>DD-10</w:t>
            </w:r>
          </w:p>
        </w:tc>
        <w:tc>
          <w:tcPr>
            <w:tcW w:type="dxa" w:w="1368"/>
            <w:vAlign w:val="center"/>
            <w:tcMar>
              <w:top w:w="85" w:type="dxa"/>
              <w:start w:w="110" w:type="dxa"/>
              <w:bottom w:w="85" w:type="dxa"/>
              <w:end w:w="110" w:type="dxa"/>
            </w:tcMar>
          </w:tcPr>
          <w:p>
            <w:r>
              <w:rPr>
                <w:sz w:val="17"/>
              </w:rPr>
              <w:t>Nutrition grounding</w:t>
            </w:r>
          </w:p>
        </w:tc>
        <w:tc>
          <w:tcPr>
            <w:tcW w:type="dxa" w:w="2664"/>
            <w:vAlign w:val="center"/>
            <w:tcMar>
              <w:top w:w="85" w:type="dxa"/>
              <w:start w:w="110" w:type="dxa"/>
              <w:bottom w:w="85" w:type="dxa"/>
              <w:end w:w="110" w:type="dxa"/>
            </w:tcMar>
          </w:tcPr>
          <w:p>
            <w:r>
              <w:rPr>
                <w:sz w:val="17"/>
              </w:rPr>
              <w:t>Prefer retrieved structured data over model recall for nutrition answers</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Needed to reduce hallucination risk.</w:t>
            </w:r>
          </w:p>
        </w:tc>
        <w:tc>
          <w:tcPr>
            <w:tcW w:type="dxa" w:w="1008"/>
            <w:vAlign w:val="center"/>
            <w:tcMar>
              <w:top w:w="85" w:type="dxa"/>
              <w:start w:w="110" w:type="dxa"/>
              <w:bottom w:w="85" w:type="dxa"/>
              <w:end w:w="110" w:type="dxa"/>
            </w:tcMar>
          </w:tcPr>
          <w:p>
            <w:pPr>
              <w:jc w:val="center"/>
            </w:pPr>
            <w:r>
              <w:rPr>
                <w:sz w:val="17"/>
              </w:rPr>
              <w:t>NLP/RAG</w:t>
            </w:r>
          </w:p>
        </w:tc>
      </w:tr>
      <w:tr>
        <w:trPr>
          <w:cantSplit/>
        </w:trPr>
        <w:tc>
          <w:tcPr>
            <w:tcW w:type="dxa" w:w="864"/>
            <w:vAlign w:val="center"/>
            <w:tcMar>
              <w:top w:w="85" w:type="dxa"/>
              <w:start w:w="110" w:type="dxa"/>
              <w:bottom w:w="85" w:type="dxa"/>
              <w:end w:w="110" w:type="dxa"/>
            </w:tcMar>
            <w:shd w:fill="F7FAFA"/>
          </w:tcPr>
          <w:p>
            <w:r>
              <w:rPr>
                <w:b/>
                <w:color w:val="1F4E46"/>
                <w:sz w:val="17"/>
              </w:rPr>
              <w:t>DD-11</w:t>
            </w:r>
          </w:p>
        </w:tc>
        <w:tc>
          <w:tcPr>
            <w:tcW w:type="dxa" w:w="1368"/>
            <w:vAlign w:val="center"/>
            <w:tcMar>
              <w:top w:w="85" w:type="dxa"/>
              <w:start w:w="110" w:type="dxa"/>
              <w:bottom w:w="85" w:type="dxa"/>
              <w:end w:w="110" w:type="dxa"/>
            </w:tcMar>
          </w:tcPr>
          <w:p>
            <w:r>
              <w:rPr>
                <w:sz w:val="17"/>
              </w:rPr>
              <w:t>Medical boundary</w:t>
            </w:r>
          </w:p>
        </w:tc>
        <w:tc>
          <w:tcPr>
            <w:tcW w:type="dxa" w:w="2664"/>
            <w:vAlign w:val="center"/>
            <w:tcMar>
              <w:top w:w="85" w:type="dxa"/>
              <w:start w:w="110" w:type="dxa"/>
              <w:bottom w:w="85" w:type="dxa"/>
              <w:end w:w="110" w:type="dxa"/>
            </w:tcMar>
          </w:tcPr>
          <w:p>
            <w:r>
              <w:rPr>
                <w:sz w:val="17"/>
              </w:rPr>
              <w:t>System must not present medical advice as diagnosis or treatment</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Hard product boundary stays in force.</w:t>
            </w:r>
          </w:p>
        </w:tc>
        <w:tc>
          <w:tcPr>
            <w:tcW w:type="dxa" w:w="1008"/>
            <w:vAlign w:val="center"/>
            <w:tcMar>
              <w:top w:w="85" w:type="dxa"/>
              <w:start w:w="110" w:type="dxa"/>
              <w:bottom w:w="85" w:type="dxa"/>
              <w:end w:w="110" w:type="dxa"/>
            </w:tcMar>
          </w:tcPr>
          <w:p>
            <w:pPr>
              <w:jc w:val="center"/>
            </w:pPr>
            <w:r>
              <w:rPr>
                <w:sz w:val="17"/>
              </w:rPr>
              <w:t>PM</w:t>
            </w:r>
          </w:p>
        </w:tc>
      </w:tr>
      <w:tr>
        <w:trPr>
          <w:cantSplit/>
        </w:trPr>
        <w:tc>
          <w:tcPr>
            <w:tcW w:type="dxa" w:w="864"/>
            <w:vAlign w:val="center"/>
            <w:tcMar>
              <w:top w:w="85" w:type="dxa"/>
              <w:start w:w="110" w:type="dxa"/>
              <w:bottom w:w="85" w:type="dxa"/>
              <w:end w:w="110" w:type="dxa"/>
            </w:tcMar>
            <w:shd w:fill="F7FAFA"/>
          </w:tcPr>
          <w:p>
            <w:r>
              <w:rPr>
                <w:b/>
                <w:color w:val="1F4E46"/>
                <w:sz w:val="17"/>
              </w:rPr>
              <w:t>DD-12</w:t>
            </w:r>
          </w:p>
        </w:tc>
        <w:tc>
          <w:tcPr>
            <w:tcW w:type="dxa" w:w="1368"/>
            <w:vAlign w:val="center"/>
            <w:tcMar>
              <w:top w:w="85" w:type="dxa"/>
              <w:start w:w="110" w:type="dxa"/>
              <w:bottom w:w="85" w:type="dxa"/>
              <w:end w:w="110" w:type="dxa"/>
            </w:tcMar>
          </w:tcPr>
          <w:p>
            <w:r>
              <w:rPr>
                <w:sz w:val="17"/>
              </w:rPr>
              <w:t>Market focus</w:t>
            </w:r>
          </w:p>
        </w:tc>
        <w:tc>
          <w:tcPr>
            <w:tcW w:type="dxa" w:w="2664"/>
            <w:vAlign w:val="center"/>
            <w:tcMar>
              <w:top w:w="85" w:type="dxa"/>
              <w:start w:w="110" w:type="dxa"/>
              <w:bottom w:w="85" w:type="dxa"/>
              <w:end w:w="110" w:type="dxa"/>
            </w:tcMar>
          </w:tcPr>
          <w:p>
            <w:r>
              <w:rPr>
                <w:sz w:val="17"/>
              </w:rPr>
              <w:t>Egyptian food support is a first-class requirement</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Localization is now core scope, not a later enhancement.</w:t>
            </w:r>
          </w:p>
        </w:tc>
        <w:tc>
          <w:tcPr>
            <w:tcW w:type="dxa" w:w="1008"/>
            <w:vAlign w:val="center"/>
            <w:tcMar>
              <w:top w:w="85" w:type="dxa"/>
              <w:start w:w="110" w:type="dxa"/>
              <w:bottom w:w="85" w:type="dxa"/>
              <w:end w:w="110" w:type="dxa"/>
            </w:tcMar>
          </w:tcPr>
          <w:p>
            <w:pPr>
              <w:jc w:val="center"/>
            </w:pPr>
            <w:r>
              <w:rPr>
                <w:sz w:val="17"/>
              </w:rPr>
              <w:t>PM</w:t>
            </w:r>
          </w:p>
        </w:tc>
      </w:tr>
      <w:tr>
        <w:trPr>
          <w:cantSplit/>
        </w:trPr>
        <w:tc>
          <w:tcPr>
            <w:tcW w:type="dxa" w:w="864"/>
            <w:vAlign w:val="center"/>
            <w:tcMar>
              <w:top w:w="85" w:type="dxa"/>
              <w:start w:w="110" w:type="dxa"/>
              <w:bottom w:w="85" w:type="dxa"/>
              <w:end w:w="110" w:type="dxa"/>
            </w:tcMar>
            <w:shd w:fill="F7FAFA"/>
          </w:tcPr>
          <w:p>
            <w:r>
              <w:rPr>
                <w:b/>
                <w:color w:val="1F4E46"/>
                <w:sz w:val="17"/>
              </w:rPr>
              <w:t>DD-13</w:t>
            </w:r>
          </w:p>
        </w:tc>
        <w:tc>
          <w:tcPr>
            <w:tcW w:type="dxa" w:w="1368"/>
            <w:vAlign w:val="center"/>
            <w:tcMar>
              <w:top w:w="85" w:type="dxa"/>
              <w:start w:w="110" w:type="dxa"/>
              <w:bottom w:w="85" w:type="dxa"/>
              <w:end w:w="110" w:type="dxa"/>
            </w:tcMar>
          </w:tcPr>
          <w:p>
            <w:r>
              <w:rPr>
                <w:sz w:val="17"/>
              </w:rPr>
              <w:t>Backend framework</w:t>
            </w:r>
          </w:p>
        </w:tc>
        <w:tc>
          <w:tcPr>
            <w:tcW w:type="dxa" w:w="2664"/>
            <w:vAlign w:val="center"/>
            <w:tcMar>
              <w:top w:w="85" w:type="dxa"/>
              <w:start w:w="110" w:type="dxa"/>
              <w:bottom w:w="85" w:type="dxa"/>
              <w:end w:w="110" w:type="dxa"/>
            </w:tcMar>
          </w:tcPr>
          <w:p>
            <w:r>
              <w:rPr>
                <w:sz w:val="17"/>
              </w:rPr>
              <w:t>Lock backend API to Python + FastAPI</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Framework choice now explicit rather than implied.</w:t>
            </w:r>
          </w:p>
        </w:tc>
        <w:tc>
          <w:tcPr>
            <w:tcW w:type="dxa" w:w="1008"/>
            <w:vAlign w:val="center"/>
            <w:tcMar>
              <w:top w:w="85" w:type="dxa"/>
              <w:start w:w="110" w:type="dxa"/>
              <w:bottom w:w="85" w:type="dxa"/>
              <w:end w:w="110" w:type="dxa"/>
            </w:tcMar>
          </w:tcPr>
          <w:p>
            <w:pPr>
              <w:jc w:val="center"/>
            </w:pPr>
            <w:r>
              <w:rPr>
                <w:sz w:val="17"/>
              </w:rPr>
              <w:t>Backend</w:t>
            </w:r>
          </w:p>
        </w:tc>
      </w:tr>
      <w:tr>
        <w:trPr>
          <w:cantSplit/>
        </w:trPr>
        <w:tc>
          <w:tcPr>
            <w:tcW w:type="dxa" w:w="864"/>
            <w:vAlign w:val="center"/>
            <w:tcMar>
              <w:top w:w="85" w:type="dxa"/>
              <w:start w:w="110" w:type="dxa"/>
              <w:bottom w:w="85" w:type="dxa"/>
              <w:end w:w="110" w:type="dxa"/>
            </w:tcMar>
            <w:shd w:fill="F7FAFA"/>
          </w:tcPr>
          <w:p>
            <w:r>
              <w:rPr>
                <w:b/>
                <w:color w:val="1F4E46"/>
                <w:sz w:val="17"/>
              </w:rPr>
              <w:t>DD-14</w:t>
            </w:r>
          </w:p>
        </w:tc>
        <w:tc>
          <w:tcPr>
            <w:tcW w:type="dxa" w:w="1368"/>
            <w:vAlign w:val="center"/>
            <w:tcMar>
              <w:top w:w="85" w:type="dxa"/>
              <w:start w:w="110" w:type="dxa"/>
              <w:bottom w:w="85" w:type="dxa"/>
              <w:end w:w="110" w:type="dxa"/>
            </w:tcMar>
          </w:tcPr>
          <w:p>
            <w:r>
              <w:rPr>
                <w:sz w:val="17"/>
              </w:rPr>
              <w:t>Integration boundary</w:t>
            </w:r>
          </w:p>
        </w:tc>
        <w:tc>
          <w:tcPr>
            <w:tcW w:type="dxa" w:w="2664"/>
            <w:vAlign w:val="center"/>
            <w:tcMar>
              <w:top w:w="85" w:type="dxa"/>
              <w:start w:w="110" w:type="dxa"/>
              <w:bottom w:w="85" w:type="dxa"/>
              <w:end w:w="110" w:type="dxa"/>
            </w:tcMar>
          </w:tcPr>
          <w:p>
            <w:r>
              <w:rPr>
                <w:sz w:val="17"/>
              </w:rPr>
              <w:t>Flutter calls FastAPI only; no direct third-party API calls from the app</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Protects secrets and centralizes normalization, caching, and vendor logic.</w:t>
            </w:r>
          </w:p>
        </w:tc>
        <w:tc>
          <w:tcPr>
            <w:tcW w:type="dxa" w:w="1008"/>
            <w:vAlign w:val="center"/>
            <w:tcMar>
              <w:top w:w="85" w:type="dxa"/>
              <w:start w:w="110" w:type="dxa"/>
              <w:bottom w:w="85" w:type="dxa"/>
              <w:end w:w="110" w:type="dxa"/>
            </w:tcMar>
          </w:tcPr>
          <w:p>
            <w:pPr>
              <w:jc w:val="center"/>
            </w:pPr>
            <w:r>
              <w:rPr>
                <w:sz w:val="17"/>
              </w:rPr>
              <w:t>Backend/Mobile</w:t>
            </w:r>
          </w:p>
        </w:tc>
      </w:tr>
      <w:tr>
        <w:trPr>
          <w:cantSplit/>
        </w:trPr>
        <w:tc>
          <w:tcPr>
            <w:tcW w:type="dxa" w:w="864"/>
            <w:vAlign w:val="center"/>
            <w:tcMar>
              <w:top w:w="85" w:type="dxa"/>
              <w:start w:w="110" w:type="dxa"/>
              <w:bottom w:w="85" w:type="dxa"/>
              <w:end w:w="110" w:type="dxa"/>
            </w:tcMar>
            <w:shd w:fill="F7FAFA"/>
          </w:tcPr>
          <w:p>
            <w:r>
              <w:rPr>
                <w:b/>
                <w:color w:val="1F4E46"/>
                <w:sz w:val="17"/>
              </w:rPr>
              <w:t>DD-15</w:t>
            </w:r>
          </w:p>
        </w:tc>
        <w:tc>
          <w:tcPr>
            <w:tcW w:type="dxa" w:w="1368"/>
            <w:vAlign w:val="center"/>
            <w:tcMar>
              <w:top w:w="85" w:type="dxa"/>
              <w:start w:w="110" w:type="dxa"/>
              <w:bottom w:w="85" w:type="dxa"/>
              <w:end w:w="110" w:type="dxa"/>
            </w:tcMar>
          </w:tcPr>
          <w:p>
            <w:r>
              <w:rPr>
                <w:sz w:val="17"/>
              </w:rPr>
              <w:t>Secrets policy</w:t>
            </w:r>
          </w:p>
        </w:tc>
        <w:tc>
          <w:tcPr>
            <w:tcW w:type="dxa" w:w="2664"/>
            <w:vAlign w:val="center"/>
            <w:tcMar>
              <w:top w:w="85" w:type="dxa"/>
              <w:start w:w="110" w:type="dxa"/>
              <w:bottom w:w="85" w:type="dxa"/>
              <w:end w:w="110" w:type="dxa"/>
            </w:tcMar>
          </w:tcPr>
          <w:p>
            <w:r>
              <w:rPr>
                <w:sz w:val="17"/>
              </w:rPr>
              <w:t>API keys and provider credentials remain backend-only</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No secrets embedded in mobile builds.</w:t>
            </w:r>
          </w:p>
        </w:tc>
        <w:tc>
          <w:tcPr>
            <w:tcW w:type="dxa" w:w="1008"/>
            <w:vAlign w:val="center"/>
            <w:tcMar>
              <w:top w:w="85" w:type="dxa"/>
              <w:start w:w="110" w:type="dxa"/>
              <w:bottom w:w="85" w:type="dxa"/>
              <w:end w:w="110" w:type="dxa"/>
            </w:tcMar>
          </w:tcPr>
          <w:p>
            <w:pPr>
              <w:jc w:val="center"/>
            </w:pPr>
            <w:r>
              <w:rPr>
                <w:sz w:val="17"/>
              </w:rPr>
              <w:t>Backend</w:t>
            </w:r>
          </w:p>
        </w:tc>
      </w:tr>
      <w:tr>
        <w:trPr>
          <w:cantSplit/>
        </w:trPr>
        <w:tc>
          <w:tcPr>
            <w:tcW w:type="dxa" w:w="864"/>
            <w:vAlign w:val="center"/>
            <w:tcMar>
              <w:top w:w="85" w:type="dxa"/>
              <w:start w:w="110" w:type="dxa"/>
              <w:bottom w:w="85" w:type="dxa"/>
              <w:end w:w="110" w:type="dxa"/>
            </w:tcMar>
            <w:shd w:fill="F7FAFA"/>
          </w:tcPr>
          <w:p>
            <w:r>
              <w:rPr>
                <w:b/>
                <w:color w:val="1F4E46"/>
                <w:sz w:val="17"/>
              </w:rPr>
              <w:t>DD-16</w:t>
            </w:r>
          </w:p>
        </w:tc>
        <w:tc>
          <w:tcPr>
            <w:tcW w:type="dxa" w:w="1368"/>
            <w:vAlign w:val="center"/>
            <w:tcMar>
              <w:top w:w="85" w:type="dxa"/>
              <w:start w:w="110" w:type="dxa"/>
              <w:bottom w:w="85" w:type="dxa"/>
              <w:end w:w="110" w:type="dxa"/>
            </w:tcMar>
          </w:tcPr>
          <w:p>
            <w:r>
              <w:rPr>
                <w:sz w:val="17"/>
              </w:rPr>
              <w:t>Recipe dataset scope</w:t>
            </w:r>
          </w:p>
        </w:tc>
        <w:tc>
          <w:tcPr>
            <w:tcW w:type="dxa" w:w="2664"/>
            <w:vAlign w:val="center"/>
            <w:tcMar>
              <w:top w:w="85" w:type="dxa"/>
              <w:start w:w="110" w:type="dxa"/>
              <w:bottom w:w="85" w:type="dxa"/>
              <w:end w:w="110" w:type="dxa"/>
            </w:tcMar>
          </w:tcPr>
          <w:p>
            <w:r>
              <w:rPr>
                <w:sz w:val="17"/>
              </w:rPr>
              <w:t>Use the recipe dataset only inside the recipe layer</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Dataset supports recipe retrieval, candidate ranking, grounded recipe assistance, and recipe discussion. It is not used in lookup or as a replacement nutrition source.</w:t>
            </w:r>
          </w:p>
        </w:tc>
        <w:tc>
          <w:tcPr>
            <w:tcW w:type="dxa" w:w="1008"/>
            <w:vAlign w:val="center"/>
            <w:tcMar>
              <w:top w:w="85" w:type="dxa"/>
              <w:start w:w="110" w:type="dxa"/>
              <w:bottom w:w="85" w:type="dxa"/>
              <w:end w:w="110" w:type="dxa"/>
            </w:tcMar>
          </w:tcPr>
          <w:p>
            <w:pPr>
              <w:jc w:val="center"/>
            </w:pPr>
            <w:r>
              <w:rPr>
                <w:sz w:val="17"/>
              </w:rPr>
              <w:t>Backend/NLP</w:t>
            </w:r>
          </w:p>
        </w:tc>
      </w:tr>
      <w:tr>
        <w:trPr>
          <w:cantSplit/>
        </w:trPr>
        <w:tc>
          <w:tcPr>
            <w:tcW w:type="dxa" w:w="864"/>
            <w:vAlign w:val="center"/>
            <w:tcMar>
              <w:top w:w="85" w:type="dxa"/>
              <w:start w:w="110" w:type="dxa"/>
              <w:bottom w:w="85" w:type="dxa"/>
              <w:end w:w="110" w:type="dxa"/>
            </w:tcMar>
            <w:shd w:fill="F7FAFA"/>
          </w:tcPr>
          <w:p>
            <w:r>
              <w:rPr>
                <w:b/>
                <w:color w:val="1F4E46"/>
                <w:sz w:val="17"/>
              </w:rPr>
              <w:t>DD-17</w:t>
            </w:r>
          </w:p>
        </w:tc>
        <w:tc>
          <w:tcPr>
            <w:tcW w:type="dxa" w:w="1368"/>
            <w:vAlign w:val="center"/>
            <w:tcMar>
              <w:top w:w="85" w:type="dxa"/>
              <w:start w:w="110" w:type="dxa"/>
              <w:bottom w:w="85" w:type="dxa"/>
              <w:end w:w="110" w:type="dxa"/>
            </w:tcMar>
          </w:tcPr>
          <w:p>
            <w:r>
              <w:rPr>
                <w:sz w:val="17"/>
              </w:rPr>
              <w:t>Recipe interaction pattern</w:t>
            </w:r>
          </w:p>
        </w:tc>
        <w:tc>
          <w:tcPr>
            <w:tcW w:type="dxa" w:w="2664"/>
            <w:vAlign w:val="center"/>
            <w:tcMar>
              <w:top w:w="85" w:type="dxa"/>
              <w:start w:w="110" w:type="dxa"/>
              <w:bottom w:w="85" w:type="dxa"/>
              <w:end w:w="110" w:type="dxa"/>
            </w:tcMar>
          </w:tcPr>
          <w:p>
            <w:r>
              <w:rPr>
                <w:sz w:val="17"/>
              </w:rPr>
              <w:t>Adopt retrieval-first recipe assistance</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The system should retrieve grounded recipe candidates before any optional adaptation or generation step.</w:t>
            </w:r>
          </w:p>
        </w:tc>
        <w:tc>
          <w:tcPr>
            <w:tcW w:type="dxa" w:w="1008"/>
            <w:vAlign w:val="center"/>
            <w:tcMar>
              <w:top w:w="85" w:type="dxa"/>
              <w:start w:w="110" w:type="dxa"/>
              <w:bottom w:w="85" w:type="dxa"/>
              <w:end w:w="110" w:type="dxa"/>
            </w:tcMar>
          </w:tcPr>
          <w:p>
            <w:pPr>
              <w:jc w:val="center"/>
            </w:pPr>
            <w:r>
              <w:rPr>
                <w:sz w:val="17"/>
              </w:rPr>
              <w:t>Backend</w:t>
            </w:r>
          </w:p>
        </w:tc>
      </w:tr>
      <w:tr>
        <w:trPr>
          <w:cantSplit/>
        </w:trPr>
        <w:tc>
          <w:tcPr>
            <w:tcW w:type="dxa" w:w="864"/>
            <w:vAlign w:val="center"/>
            <w:tcMar>
              <w:top w:w="85" w:type="dxa"/>
              <w:start w:w="110" w:type="dxa"/>
              <w:bottom w:w="85" w:type="dxa"/>
              <w:end w:w="110" w:type="dxa"/>
            </w:tcMar>
            <w:shd w:fill="F7FAFA"/>
          </w:tcPr>
          <w:p>
            <w:r>
              <w:rPr>
                <w:b/>
                <w:color w:val="1F4E46"/>
                <w:sz w:val="17"/>
              </w:rPr>
              <w:t>DD-18</w:t>
            </w:r>
          </w:p>
        </w:tc>
        <w:tc>
          <w:tcPr>
            <w:tcW w:type="dxa" w:w="1368"/>
            <w:vAlign w:val="center"/>
            <w:tcMar>
              <w:top w:w="85" w:type="dxa"/>
              <w:start w:w="110" w:type="dxa"/>
              <w:bottom w:w="85" w:type="dxa"/>
              <w:end w:w="110" w:type="dxa"/>
            </w:tcMar>
          </w:tcPr>
          <w:p>
            <w:r>
              <w:rPr>
                <w:sz w:val="17"/>
              </w:rPr>
              <w:t>Recipe discussion grounding</w:t>
            </w:r>
          </w:p>
        </w:tc>
        <w:tc>
          <w:tcPr>
            <w:tcW w:type="dxa" w:w="2664"/>
            <w:vAlign w:val="center"/>
            <w:tcMar>
              <w:top w:w="85" w:type="dxa"/>
              <w:start w:w="110" w:type="dxa"/>
              <w:bottom w:w="85" w:type="dxa"/>
              <w:end w:w="110" w:type="dxa"/>
            </w:tcMar>
          </w:tcPr>
          <w:p>
            <w:r>
              <w:rPr>
                <w:sz w:val="17"/>
              </w:rPr>
              <w:t>Recipe discussion must use retrieved recipe context</w:t>
            </w:r>
          </w:p>
        </w:tc>
        <w:tc>
          <w:tcPr>
            <w:tcW w:type="dxa" w:w="1152"/>
            <w:vAlign w:val="center"/>
            <w:tcMar>
              <w:top w:w="85" w:type="dxa"/>
              <w:start w:w="110" w:type="dxa"/>
              <w:bottom w:w="85" w:type="dxa"/>
              <w:end w:w="110" w:type="dxa"/>
            </w:tcMar>
          </w:tcPr>
          <w:p>
            <w:pPr>
              <w:jc w:val="center"/>
            </w:pPr>
            <w:r>
              <w:rPr>
                <w:sz w:val="17"/>
              </w:rPr>
              <w:t>Confirmed</w:t>
            </w:r>
          </w:p>
        </w:tc>
        <w:tc>
          <w:tcPr>
            <w:tcW w:type="dxa" w:w="3456"/>
            <w:vAlign w:val="center"/>
            <w:tcMar>
              <w:top w:w="85" w:type="dxa"/>
              <w:start w:w="110" w:type="dxa"/>
              <w:bottom w:w="85" w:type="dxa"/>
              <w:end w:w="110" w:type="dxa"/>
            </w:tcMar>
          </w:tcPr>
          <w:p>
            <w:r>
              <w:rPr>
                <w:sz w:val="17"/>
              </w:rPr>
              <w:t>Follow-up recipe answers should rely on retrieved recipe rows and structured match context, not free-form model recall.</w:t>
            </w:r>
          </w:p>
        </w:tc>
        <w:tc>
          <w:tcPr>
            <w:tcW w:type="dxa" w:w="1008"/>
            <w:vAlign w:val="center"/>
            <w:tcMar>
              <w:top w:w="85" w:type="dxa"/>
              <w:start w:w="110" w:type="dxa"/>
              <w:bottom w:w="85" w:type="dxa"/>
              <w:end w:w="110" w:type="dxa"/>
            </w:tcMar>
          </w:tcPr>
          <w:p>
            <w:pPr>
              <w:jc w:val="center"/>
            </w:pPr>
            <w:r>
              <w:rPr>
                <w:sz w:val="17"/>
              </w:rPr>
              <w:t>NLP/RAG</w:t>
            </w:r>
          </w:p>
        </w:tc>
      </w:tr>
    </w:tbl>
    <w:p/>
    <w:p>
      <w:pPr>
        <w:keepNext/>
        <w:pBdr>
          <w:bottom w:val="single" w:sz="8" w:space="2" w:color="B7D7D1"/>
        </w:pBdr>
      </w:pPr>
      <w:r>
        <w:rPr>
          <w:b/>
          <w:color w:val="1F4E46"/>
          <w:sz w:val="26"/>
        </w:rPr>
        <w:t>2. Controlled wording corrections</w:t>
      </w:r>
    </w:p>
    <w:tbl>
      <w:tblPr>
        <w:tblW w:type="auto" w:w="0"/>
        <w:jc w:val="left"/>
        <w:tblLayout w:type="fixed"/>
        <w:tblLook w:firstColumn="1" w:firstRow="1" w:lastColumn="0" w:lastRow="0" w:noHBand="0" w:noVBand="1" w:val="04A0"/>
      </w:tblPr>
      <w:tblGrid>
        <w:gridCol w:w="5040"/>
        <w:gridCol w:w="5040"/>
      </w:tblGrid>
      <w:tr>
        <w:trPr>
          <w:tblHeader w:val="true"/>
        </w:trPr>
        <w:tc>
          <w:tcPr>
            <w:tcW w:type="dxa" w:w="2592"/>
            <w:vAlign w:val="center"/>
            <w:shd w:fill="D7ECE7"/>
            <w:tcMar>
              <w:top w:w="80" w:type="dxa"/>
              <w:start w:w="120" w:type="dxa"/>
              <w:bottom w:w="80" w:type="dxa"/>
              <w:end w:w="120" w:type="dxa"/>
            </w:tcMar>
          </w:tcPr>
          <w:p>
            <w:r>
              <w:rPr>
                <w:b/>
                <w:color w:val="1F4E46"/>
                <w:sz w:val="18"/>
              </w:rPr>
              <w:t>Topic</w:t>
            </w:r>
          </w:p>
        </w:tc>
        <w:tc>
          <w:tcPr>
            <w:tcW w:type="dxa" w:w="6912"/>
            <w:vAlign w:val="center"/>
            <w:shd w:fill="D7ECE7"/>
            <w:tcMar>
              <w:top w:w="80" w:type="dxa"/>
              <w:start w:w="120" w:type="dxa"/>
              <w:bottom w:w="80" w:type="dxa"/>
              <w:end w:w="120" w:type="dxa"/>
            </w:tcMar>
          </w:tcPr>
          <w:p>
            <w:r>
              <w:rPr>
                <w:b/>
                <w:color w:val="1F4E46"/>
                <w:sz w:val="18"/>
              </w:rPr>
              <w:t>Current controlled wording / action</w:t>
            </w:r>
          </w:p>
        </w:tc>
      </w:tr>
      <w:tr>
        <w:trPr>
          <w:cantSplit/>
        </w:trPr>
        <w:tc>
          <w:tcPr>
            <w:tcW w:type="dxa" w:w="2592"/>
            <w:vAlign w:val="center"/>
            <w:tcMar>
              <w:top w:w="90" w:type="dxa"/>
              <w:start w:w="120" w:type="dxa"/>
              <w:bottom w:w="90" w:type="dxa"/>
              <w:end w:w="120" w:type="dxa"/>
            </w:tcMar>
            <w:shd w:fill="F4F8F8"/>
          </w:tcPr>
          <w:p>
            <w:pPr>
              <w:spacing w:after="0"/>
            </w:pPr>
            <w:r>
              <w:rPr>
                <w:b/>
                <w:color w:val="1F4E46"/>
                <w:sz w:val="19"/>
              </w:rPr>
              <w:t>Food API naming</w:t>
            </w:r>
          </w:p>
        </w:tc>
        <w:tc>
          <w:tcPr>
            <w:tcW w:type="dxa" w:w="6912"/>
            <w:vAlign w:val="center"/>
            <w:tcMar>
              <w:top w:w="90" w:type="dxa"/>
              <w:start w:w="120" w:type="dxa"/>
              <w:bottom w:w="90" w:type="dxa"/>
              <w:end w:w="120" w:type="dxa"/>
            </w:tcMar>
          </w:tcPr>
          <w:p>
            <w:pPr>
              <w:spacing w:after="0"/>
            </w:pPr>
            <w:r>
              <w:rPr>
                <w:sz w:val="19"/>
              </w:rPr>
              <w:t>Use "Open Food Facts API" rather than older variants.</w:t>
            </w:r>
          </w:p>
        </w:tc>
      </w:tr>
      <w:tr>
        <w:trPr>
          <w:cantSplit/>
        </w:trPr>
        <w:tc>
          <w:tcPr>
            <w:tcW w:type="dxa" w:w="2592"/>
            <w:vAlign w:val="center"/>
            <w:tcMar>
              <w:top w:w="90" w:type="dxa"/>
              <w:start w:w="120" w:type="dxa"/>
              <w:bottom w:w="90" w:type="dxa"/>
              <w:end w:w="120" w:type="dxa"/>
            </w:tcMar>
            <w:shd w:fill="F4F8F8"/>
          </w:tcPr>
          <w:p>
            <w:pPr>
              <w:spacing w:after="0"/>
            </w:pPr>
            <w:r>
              <w:rPr>
                <w:b/>
                <w:color w:val="1F4E46"/>
                <w:sz w:val="19"/>
              </w:rPr>
              <w:t>Vision model naming</w:t>
            </w:r>
          </w:p>
        </w:tc>
        <w:tc>
          <w:tcPr>
            <w:tcW w:type="dxa" w:w="6912"/>
            <w:vAlign w:val="center"/>
            <w:tcMar>
              <w:top w:w="90" w:type="dxa"/>
              <w:start w:w="120" w:type="dxa"/>
              <w:bottom w:w="90" w:type="dxa"/>
              <w:end w:w="120" w:type="dxa"/>
            </w:tcMar>
          </w:tcPr>
          <w:p>
            <w:pPr>
              <w:spacing w:after="0"/>
            </w:pPr>
            <w:r>
              <w:rPr>
                <w:sz w:val="19"/>
              </w:rPr>
              <w:t>Use "Gemini Flash family"; exact model ID remains pending.</w:t>
            </w:r>
          </w:p>
        </w:tc>
      </w:tr>
      <w:tr>
        <w:trPr>
          <w:cantSplit/>
        </w:trPr>
        <w:tc>
          <w:tcPr>
            <w:tcW w:type="dxa" w:w="2592"/>
            <w:vAlign w:val="center"/>
            <w:tcMar>
              <w:top w:w="90" w:type="dxa"/>
              <w:start w:w="120" w:type="dxa"/>
              <w:bottom w:w="90" w:type="dxa"/>
              <w:end w:w="120" w:type="dxa"/>
            </w:tcMar>
            <w:shd w:fill="F4F8F8"/>
          </w:tcPr>
          <w:p>
            <w:pPr>
              <w:spacing w:after="0"/>
            </w:pPr>
            <w:r>
              <w:rPr>
                <w:b/>
                <w:color w:val="1F4E46"/>
                <w:sz w:val="19"/>
              </w:rPr>
              <w:t>Backend stack wording</w:t>
            </w:r>
          </w:p>
        </w:tc>
        <w:tc>
          <w:tcPr>
            <w:tcW w:type="dxa" w:w="6912"/>
            <w:vAlign w:val="center"/>
            <w:tcMar>
              <w:top w:w="90" w:type="dxa"/>
              <w:start w:w="120" w:type="dxa"/>
              <w:bottom w:w="90" w:type="dxa"/>
              <w:end w:w="120" w:type="dxa"/>
            </w:tcMar>
          </w:tcPr>
          <w:p>
            <w:pPr>
              <w:spacing w:after="0"/>
            </w:pPr>
            <w:r>
              <w:rPr>
                <w:sz w:val="19"/>
              </w:rPr>
              <w:t>Use "Python + FastAPI backend" everywhere.</w:t>
            </w:r>
          </w:p>
        </w:tc>
      </w:tr>
      <w:tr>
        <w:trPr>
          <w:cantSplit/>
        </w:trPr>
        <w:tc>
          <w:tcPr>
            <w:tcW w:type="dxa" w:w="2592"/>
            <w:vAlign w:val="center"/>
            <w:tcMar>
              <w:top w:w="90" w:type="dxa"/>
              <w:start w:w="120" w:type="dxa"/>
              <w:bottom w:w="90" w:type="dxa"/>
              <w:end w:w="120" w:type="dxa"/>
            </w:tcMar>
            <w:shd w:fill="F4F8F8"/>
          </w:tcPr>
          <w:p>
            <w:pPr>
              <w:spacing w:after="0"/>
            </w:pPr>
            <w:r>
              <w:rPr>
                <w:b/>
                <w:color w:val="1F4E46"/>
                <w:sz w:val="19"/>
              </w:rPr>
              <w:t>Mobile integration wording</w:t>
            </w:r>
          </w:p>
        </w:tc>
        <w:tc>
          <w:tcPr>
            <w:tcW w:type="dxa" w:w="6912"/>
            <w:vAlign w:val="center"/>
            <w:tcMar>
              <w:top w:w="90" w:type="dxa"/>
              <w:start w:w="120" w:type="dxa"/>
              <w:bottom w:w="90" w:type="dxa"/>
              <w:end w:w="120" w:type="dxa"/>
            </w:tcMar>
          </w:tcPr>
          <w:p>
            <w:pPr>
              <w:spacing w:after="0"/>
            </w:pPr>
            <w:r>
              <w:rPr>
                <w:sz w:val="19"/>
              </w:rPr>
              <w:t>Use "Flutter calls backend only" everywhere.</w:t>
            </w:r>
          </w:p>
        </w:tc>
      </w:tr>
      <w:tr>
        <w:trPr>
          <w:cantSplit/>
        </w:trPr>
        <w:tc>
          <w:tcPr>
            <w:tcW w:type="dxa" w:w="2592"/>
            <w:vAlign w:val="center"/>
            <w:tcMar>
              <w:top w:w="90" w:type="dxa"/>
              <w:start w:w="120" w:type="dxa"/>
              <w:bottom w:w="90" w:type="dxa"/>
              <w:end w:w="120" w:type="dxa"/>
            </w:tcMar>
            <w:shd w:fill="F4F8F8"/>
          </w:tcPr>
          <w:p>
            <w:pPr>
              <w:spacing w:after="0"/>
            </w:pPr>
            <w:r>
              <w:rPr>
                <w:b/>
                <w:color w:val="1F4E46"/>
                <w:sz w:val="19"/>
              </w:rPr>
              <w:t>Recipe dataset wording</w:t>
            </w:r>
          </w:p>
        </w:tc>
        <w:tc>
          <w:tcPr>
            <w:tcW w:type="dxa" w:w="6912"/>
            <w:vAlign w:val="center"/>
            <w:tcMar>
              <w:top w:w="90" w:type="dxa"/>
              <w:start w:w="120" w:type="dxa"/>
              <w:bottom w:w="90" w:type="dxa"/>
              <w:end w:w="120" w:type="dxa"/>
            </w:tcMar>
          </w:tcPr>
          <w:p>
            <w:pPr>
              <w:spacing w:after="0"/>
            </w:pPr>
            <w:r>
              <w:rPr>
                <w:sz w:val="19"/>
              </w:rPr>
              <w:t>Use "recipe corpus" or "recipe dataset inside the recipe layer", not "lookup database".</w:t>
            </w:r>
          </w:p>
        </w:tc>
      </w:tr>
      <w:tr>
        <w:trPr>
          <w:cantSplit/>
        </w:trPr>
        <w:tc>
          <w:tcPr>
            <w:tcW w:type="dxa" w:w="2592"/>
            <w:vAlign w:val="center"/>
            <w:tcMar>
              <w:top w:w="90" w:type="dxa"/>
              <w:start w:w="120" w:type="dxa"/>
              <w:bottom w:w="90" w:type="dxa"/>
              <w:end w:w="120" w:type="dxa"/>
            </w:tcMar>
            <w:shd w:fill="F4F8F8"/>
          </w:tcPr>
          <w:p>
            <w:pPr>
              <w:spacing w:after="0"/>
            </w:pPr>
            <w:r>
              <w:rPr>
                <w:b/>
                <w:color w:val="1F4E46"/>
                <w:sz w:val="19"/>
              </w:rPr>
              <w:t>Recipe generation wording</w:t>
            </w:r>
          </w:p>
        </w:tc>
        <w:tc>
          <w:tcPr>
            <w:tcW w:type="dxa" w:w="6912"/>
            <w:vAlign w:val="center"/>
            <w:tcMar>
              <w:top w:w="90" w:type="dxa"/>
              <w:start w:w="120" w:type="dxa"/>
              <w:bottom w:w="90" w:type="dxa"/>
              <w:end w:w="120" w:type="dxa"/>
            </w:tcMar>
          </w:tcPr>
          <w:p>
            <w:pPr>
              <w:spacing w:after="0"/>
            </w:pPr>
            <w:r>
              <w:rPr>
                <w:sz w:val="19"/>
              </w:rPr>
              <w:t>Prefer "retrieval-first recipe assistance" unless and until a true generation provider is selected.</w:t>
            </w:r>
          </w:p>
        </w:tc>
      </w:tr>
    </w:tbl>
    <w:p/>
    <w:p>
      <w:pPr>
        <w:keepNext/>
        <w:pBdr>
          <w:bottom w:val="single" w:sz="8" w:space="2" w:color="B7D7D1"/>
        </w:pBdr>
      </w:pPr>
      <w:r>
        <w:rPr>
          <w:b/>
          <w:color w:val="1F4E46"/>
          <w:sz w:val="26"/>
        </w:rPr>
        <w:t>3. Design implications</w:t>
      </w:r>
    </w:p>
    <w:p>
      <w:pPr>
        <w:ind w:left="288" w:hanging="216"/>
      </w:pPr>
      <w:r>
        <w:rPr>
          <w:b/>
        </w:rPr>
        <w:t xml:space="preserve">• </w:t>
      </w:r>
      <w:r>
        <w:t>The backend must expose stable mobile-facing contracts even if upstream providers change.</w:t>
      </w:r>
    </w:p>
    <w:p>
      <w:pPr>
        <w:ind w:left="288" w:hanging="216"/>
      </w:pPr>
      <w:r>
        <w:rPr>
          <w:b/>
        </w:rPr>
        <w:t xml:space="preserve">• </w:t>
      </w:r>
      <w:r>
        <w:t>Barcode and non-barcode flows should remain separate internally because their confidence and failure modes differ.</w:t>
      </w:r>
    </w:p>
    <w:p>
      <w:pPr>
        <w:ind w:left="288" w:hanging="216"/>
      </w:pPr>
      <w:r>
        <w:rPr>
          <w:b/>
        </w:rPr>
        <w:t xml:space="preserve">• </w:t>
      </w:r>
      <w:r>
        <w:t>Gemini outputs should use a structured JSON contract with dish candidates, ingredients, and confidence fields.</w:t>
      </w:r>
    </w:p>
    <w:p>
      <w:pPr>
        <w:ind w:left="288" w:hanging="216"/>
      </w:pPr>
      <w:r>
        <w:rPr>
          <w:b/>
        </w:rPr>
        <w:t xml:space="preserve">• </w:t>
      </w:r>
      <w:r>
        <w:t>Prompting and safety rules for the conversational layer should be defined in a provider-neutral way until the vendor is chosen.</w:t>
      </w:r>
    </w:p>
    <w:p>
      <w:pPr>
        <w:ind w:left="288" w:hanging="216"/>
      </w:pPr>
      <w:r>
        <w:rPr>
          <w:b/>
        </w:rPr>
        <w:t xml:space="preserve">• </w:t>
      </w:r>
      <w:r>
        <w:t>The nutrition layer must reconcile packaged products and local meal estimates through one normalized schema.</w:t>
      </w:r>
    </w:p>
    <w:p>
      <w:pPr>
        <w:ind w:left="288" w:hanging="216"/>
      </w:pPr>
      <w:r>
        <w:rPr>
          <w:b/>
        </w:rPr>
        <w:t xml:space="preserve">• </w:t>
      </w:r>
      <w:r>
        <w:t>The recipe layer must keep recipe retrieval, candidate ranking, missing-ingredient logic, and recipe discussion grounded in the recipe corpus.</w:t>
      </w:r>
    </w:p>
    <w:p>
      <w:pPr>
        <w:ind w:left="288" w:hanging="216"/>
      </w:pPr>
      <w:r>
        <w:rPr>
          <w:b/>
        </w:rPr>
        <w:t xml:space="preserve">• </w:t>
      </w:r>
      <w:r>
        <w:t>Recipe discussion should explain why a recipe was suggested, what ingredients are missing, and how the candidate could be adapted under user constraints.</w:t>
      </w:r>
    </w:p>
    <w:p>
      <w:pPr>
        <w:keepNext/>
        <w:pBdr>
          <w:bottom w:val="single" w:sz="8" w:space="2" w:color="B7D7D1"/>
        </w:pBdr>
      </w:pPr>
      <w:r>
        <w:rPr>
          <w:b/>
          <w:color w:val="1F4E46"/>
          <w:sz w:val="26"/>
        </w:rPr>
        <w:t>4. Highest-priority open decisions</w:t>
      </w:r>
    </w:p>
    <w:tbl>
      <w:tblPr>
        <w:tblW w:type="auto" w:w="0"/>
        <w:jc w:val="left"/>
        <w:tblLayout w:type="fixed"/>
        <w:tblLook w:firstColumn="1" w:firstRow="1" w:lastColumn="0" w:lastRow="0" w:noHBand="0" w:noVBand="1" w:val="04A0"/>
      </w:tblPr>
      <w:tblGrid>
        <w:gridCol w:w="2016"/>
        <w:gridCol w:w="2016"/>
        <w:gridCol w:w="2016"/>
        <w:gridCol w:w="2016"/>
        <w:gridCol w:w="2016"/>
      </w:tblGrid>
      <w:tr>
        <w:trPr>
          <w:tblHeader w:val="true"/>
        </w:trPr>
        <w:tc>
          <w:tcPr>
            <w:tcW w:type="dxa" w:w="1008"/>
            <w:vAlign w:val="center"/>
            <w:tcMar>
              <w:top w:w="85" w:type="dxa"/>
              <w:start w:w="110" w:type="dxa"/>
              <w:bottom w:w="85" w:type="dxa"/>
              <w:end w:w="110" w:type="dxa"/>
            </w:tcMar>
            <w:shd w:fill="D7ECE7"/>
          </w:tcPr>
          <w:p>
            <w:pPr>
              <w:jc w:val="left"/>
            </w:pPr>
            <w:r>
              <w:rPr>
                <w:b/>
                <w:color w:val="1F4E46"/>
                <w:sz w:val="17"/>
              </w:rPr>
              <w:t>ID</w:t>
            </w:r>
          </w:p>
        </w:tc>
        <w:tc>
          <w:tcPr>
            <w:tcW w:type="dxa" w:w="2016"/>
            <w:vAlign w:val="center"/>
            <w:tcMar>
              <w:top w:w="85" w:type="dxa"/>
              <w:start w:w="110" w:type="dxa"/>
              <w:bottom w:w="85" w:type="dxa"/>
              <w:end w:w="110" w:type="dxa"/>
            </w:tcMar>
            <w:shd w:fill="D7ECE7"/>
          </w:tcPr>
          <w:p>
            <w:pPr>
              <w:jc w:val="left"/>
            </w:pPr>
            <w:r>
              <w:rPr>
                <w:b/>
                <w:color w:val="1F4E46"/>
                <w:sz w:val="17"/>
              </w:rPr>
              <w:t>Decision</w:t>
            </w:r>
          </w:p>
        </w:tc>
        <w:tc>
          <w:tcPr>
            <w:tcW w:type="dxa" w:w="3312"/>
            <w:vAlign w:val="center"/>
            <w:tcMar>
              <w:top w:w="85" w:type="dxa"/>
              <w:start w:w="110" w:type="dxa"/>
              <w:bottom w:w="85" w:type="dxa"/>
              <w:end w:w="110" w:type="dxa"/>
            </w:tcMar>
            <w:shd w:fill="D7ECE7"/>
          </w:tcPr>
          <w:p>
            <w:pPr>
              <w:jc w:val="center"/>
            </w:pPr>
            <w:r>
              <w:rPr>
                <w:b/>
                <w:color w:val="1F4E46"/>
                <w:sz w:val="17"/>
              </w:rPr>
              <w:t>Missing detail</w:t>
            </w:r>
          </w:p>
        </w:tc>
        <w:tc>
          <w:tcPr>
            <w:tcW w:type="dxa" w:w="1152"/>
            <w:vAlign w:val="center"/>
            <w:tcMar>
              <w:top w:w="85" w:type="dxa"/>
              <w:start w:w="110" w:type="dxa"/>
              <w:bottom w:w="85" w:type="dxa"/>
              <w:end w:w="110" w:type="dxa"/>
            </w:tcMar>
            <w:shd w:fill="D7ECE7"/>
          </w:tcPr>
          <w:p>
            <w:pPr>
              <w:jc w:val="center"/>
            </w:pPr>
            <w:r>
              <w:rPr>
                <w:b/>
                <w:color w:val="1F4E46"/>
                <w:sz w:val="17"/>
              </w:rPr>
              <w:t>Priority</w:t>
            </w:r>
          </w:p>
        </w:tc>
        <w:tc>
          <w:tcPr>
            <w:tcW w:type="dxa" w:w="2304"/>
            <w:vAlign w:val="center"/>
            <w:tcMar>
              <w:top w:w="85" w:type="dxa"/>
              <w:start w:w="110" w:type="dxa"/>
              <w:bottom w:w="85" w:type="dxa"/>
              <w:end w:w="110" w:type="dxa"/>
            </w:tcMar>
            <w:shd w:fill="D7ECE7"/>
          </w:tcPr>
          <w:p>
            <w:pPr>
              <w:jc w:val="center"/>
            </w:pPr>
            <w:r>
              <w:rPr>
                <w:b/>
                <w:color w:val="1F4E46"/>
                <w:sz w:val="17"/>
              </w:rPr>
              <w:t>Why it matters</w:t>
            </w:r>
          </w:p>
        </w:tc>
      </w:tr>
      <w:tr>
        <w:trPr>
          <w:cantSplit/>
        </w:trPr>
        <w:tc>
          <w:tcPr>
            <w:tcW w:type="dxa" w:w="1008"/>
            <w:vAlign w:val="center"/>
            <w:tcMar>
              <w:top w:w="85" w:type="dxa"/>
              <w:start w:w="110" w:type="dxa"/>
              <w:bottom w:w="85" w:type="dxa"/>
              <w:end w:w="110" w:type="dxa"/>
            </w:tcMar>
            <w:shd w:fill="F7FAFA"/>
          </w:tcPr>
          <w:p>
            <w:r>
              <w:rPr>
                <w:b/>
                <w:color w:val="1F4E46"/>
                <w:sz w:val="17"/>
              </w:rPr>
              <w:t>OD-01</w:t>
            </w:r>
          </w:p>
        </w:tc>
        <w:tc>
          <w:tcPr>
            <w:tcW w:type="dxa" w:w="2016"/>
            <w:vAlign w:val="center"/>
            <w:tcMar>
              <w:top w:w="85" w:type="dxa"/>
              <w:start w:w="110" w:type="dxa"/>
              <w:bottom w:w="85" w:type="dxa"/>
              <w:end w:w="110" w:type="dxa"/>
            </w:tcMar>
          </w:tcPr>
          <w:p>
            <w:r>
              <w:rPr>
                <w:sz w:val="17"/>
              </w:rPr>
              <w:t>Conversational LLM</w:t>
            </w:r>
          </w:p>
        </w:tc>
        <w:tc>
          <w:tcPr>
            <w:tcW w:type="dxa" w:w="3312"/>
            <w:vAlign w:val="center"/>
            <w:tcMar>
              <w:top w:w="85" w:type="dxa"/>
              <w:start w:w="110" w:type="dxa"/>
              <w:bottom w:w="85" w:type="dxa"/>
              <w:end w:w="110" w:type="dxa"/>
            </w:tcMar>
          </w:tcPr>
          <w:p>
            <w:r>
              <w:rPr>
                <w:sz w:val="17"/>
              </w:rPr>
              <w:t>Vendor, model, latency budget, fallback path</w:t>
            </w:r>
          </w:p>
        </w:tc>
        <w:tc>
          <w:tcPr>
            <w:tcW w:type="dxa" w:w="1152"/>
            <w:vAlign w:val="center"/>
            <w:tcMar>
              <w:top w:w="85" w:type="dxa"/>
              <w:start w:w="110" w:type="dxa"/>
              <w:bottom w:w="85" w:type="dxa"/>
              <w:end w:w="110" w:type="dxa"/>
            </w:tcMar>
          </w:tcPr>
          <w:p>
            <w:pPr>
              <w:jc w:val="center"/>
            </w:pPr>
            <w:r>
              <w:rPr>
                <w:sz w:val="17"/>
              </w:rPr>
              <w:t>High</w:t>
            </w:r>
          </w:p>
        </w:tc>
        <w:tc>
          <w:tcPr>
            <w:tcW w:type="dxa" w:w="2304"/>
            <w:vAlign w:val="center"/>
            <w:tcMar>
              <w:top w:w="85" w:type="dxa"/>
              <w:start w:w="110" w:type="dxa"/>
              <w:bottom w:w="85" w:type="dxa"/>
              <w:end w:w="110" w:type="dxa"/>
            </w:tcMar>
          </w:tcPr>
          <w:p>
            <w:r>
              <w:rPr>
                <w:sz w:val="17"/>
              </w:rPr>
              <w:t>Blocks prompt optimization, safety policy, and cost estimates.</w:t>
            </w:r>
          </w:p>
        </w:tc>
      </w:tr>
      <w:tr>
        <w:trPr>
          <w:cantSplit/>
        </w:trPr>
        <w:tc>
          <w:tcPr>
            <w:tcW w:type="dxa" w:w="1008"/>
            <w:vAlign w:val="center"/>
            <w:tcMar>
              <w:top w:w="85" w:type="dxa"/>
              <w:start w:w="110" w:type="dxa"/>
              <w:bottom w:w="85" w:type="dxa"/>
              <w:end w:w="110" w:type="dxa"/>
            </w:tcMar>
            <w:shd w:fill="F7FAFA"/>
          </w:tcPr>
          <w:p>
            <w:r>
              <w:rPr>
                <w:b/>
                <w:color w:val="1F4E46"/>
                <w:sz w:val="17"/>
              </w:rPr>
              <w:t>OD-02</w:t>
            </w:r>
          </w:p>
        </w:tc>
        <w:tc>
          <w:tcPr>
            <w:tcW w:type="dxa" w:w="2016"/>
            <w:vAlign w:val="center"/>
            <w:tcMar>
              <w:top w:w="85" w:type="dxa"/>
              <w:start w:w="110" w:type="dxa"/>
              <w:bottom w:w="85" w:type="dxa"/>
              <w:end w:w="110" w:type="dxa"/>
            </w:tcMar>
          </w:tcPr>
          <w:p>
            <w:r>
              <w:rPr>
                <w:sz w:val="17"/>
              </w:rPr>
              <w:t>Recipe generation approach</w:t>
            </w:r>
          </w:p>
        </w:tc>
        <w:tc>
          <w:tcPr>
            <w:tcW w:type="dxa" w:w="3312"/>
            <w:vAlign w:val="center"/>
            <w:tcMar>
              <w:top w:w="85" w:type="dxa"/>
              <w:start w:w="110" w:type="dxa"/>
              <w:bottom w:w="85" w:type="dxa"/>
              <w:end w:w="110" w:type="dxa"/>
            </w:tcMar>
          </w:tcPr>
          <w:p>
            <w:r>
              <w:rPr>
                <w:sz w:val="17"/>
              </w:rPr>
              <w:t>Provider or architecture, plus final retrieval vs adaptation vs generation split</w:t>
            </w:r>
          </w:p>
        </w:tc>
        <w:tc>
          <w:tcPr>
            <w:tcW w:type="dxa" w:w="1152"/>
            <w:vAlign w:val="center"/>
            <w:tcMar>
              <w:top w:w="85" w:type="dxa"/>
              <w:start w:w="110" w:type="dxa"/>
              <w:bottom w:w="85" w:type="dxa"/>
              <w:end w:w="110" w:type="dxa"/>
            </w:tcMar>
          </w:tcPr>
          <w:p>
            <w:pPr>
              <w:jc w:val="center"/>
            </w:pPr>
            <w:r>
              <w:rPr>
                <w:sz w:val="17"/>
              </w:rPr>
              <w:t>High</w:t>
            </w:r>
          </w:p>
        </w:tc>
        <w:tc>
          <w:tcPr>
            <w:tcW w:type="dxa" w:w="2304"/>
            <w:vAlign w:val="center"/>
            <w:tcMar>
              <w:top w:w="85" w:type="dxa"/>
              <w:start w:w="110" w:type="dxa"/>
              <w:bottom w:w="85" w:type="dxa"/>
              <w:end w:w="110" w:type="dxa"/>
            </w:tcMar>
          </w:tcPr>
          <w:p>
            <w:r>
              <w:rPr>
                <w:sz w:val="17"/>
              </w:rPr>
              <w:t>Blocks pantry flow finalization and cost model.</w:t>
            </w:r>
          </w:p>
        </w:tc>
      </w:tr>
      <w:tr>
        <w:trPr>
          <w:cantSplit/>
        </w:trPr>
        <w:tc>
          <w:tcPr>
            <w:tcW w:type="dxa" w:w="1008"/>
            <w:vAlign w:val="center"/>
            <w:tcMar>
              <w:top w:w="85" w:type="dxa"/>
              <w:start w:w="110" w:type="dxa"/>
              <w:bottom w:w="85" w:type="dxa"/>
              <w:end w:w="110" w:type="dxa"/>
            </w:tcMar>
            <w:shd w:fill="F7FAFA"/>
          </w:tcPr>
          <w:p>
            <w:r>
              <w:rPr>
                <w:b/>
                <w:color w:val="1F4E46"/>
                <w:sz w:val="17"/>
              </w:rPr>
              <w:t>OD-03</w:t>
            </w:r>
          </w:p>
        </w:tc>
        <w:tc>
          <w:tcPr>
            <w:tcW w:type="dxa" w:w="2016"/>
            <w:vAlign w:val="center"/>
            <w:tcMar>
              <w:top w:w="85" w:type="dxa"/>
              <w:start w:w="110" w:type="dxa"/>
              <w:bottom w:w="85" w:type="dxa"/>
              <w:end w:w="110" w:type="dxa"/>
            </w:tcMar>
          </w:tcPr>
          <w:p>
            <w:r>
              <w:rPr>
                <w:sz w:val="17"/>
              </w:rPr>
              <w:t>Gemini implementation detail</w:t>
            </w:r>
          </w:p>
        </w:tc>
        <w:tc>
          <w:tcPr>
            <w:tcW w:type="dxa" w:w="3312"/>
            <w:vAlign w:val="center"/>
            <w:tcMar>
              <w:top w:w="85" w:type="dxa"/>
              <w:start w:w="110" w:type="dxa"/>
              <w:bottom w:w="85" w:type="dxa"/>
              <w:end w:w="110" w:type="dxa"/>
            </w:tcMar>
          </w:tcPr>
          <w:p>
            <w:r>
              <w:rPr>
                <w:sz w:val="17"/>
              </w:rPr>
              <w:t>Exact model version, endpoint, and JSON schema</w:t>
            </w:r>
          </w:p>
        </w:tc>
        <w:tc>
          <w:tcPr>
            <w:tcW w:type="dxa" w:w="1152"/>
            <w:vAlign w:val="center"/>
            <w:tcMar>
              <w:top w:w="85" w:type="dxa"/>
              <w:start w:w="110" w:type="dxa"/>
              <w:bottom w:w="85" w:type="dxa"/>
              <w:end w:w="110" w:type="dxa"/>
            </w:tcMar>
          </w:tcPr>
          <w:p>
            <w:pPr>
              <w:jc w:val="center"/>
            </w:pPr>
            <w:r>
              <w:rPr>
                <w:sz w:val="17"/>
              </w:rPr>
              <w:t>High</w:t>
            </w:r>
          </w:p>
        </w:tc>
        <w:tc>
          <w:tcPr>
            <w:tcW w:type="dxa" w:w="2304"/>
            <w:vAlign w:val="center"/>
            <w:tcMar>
              <w:top w:w="85" w:type="dxa"/>
              <w:start w:w="110" w:type="dxa"/>
              <w:bottom w:w="85" w:type="dxa"/>
              <w:end w:w="110" w:type="dxa"/>
            </w:tcMar>
          </w:tcPr>
          <w:p>
            <w:r>
              <w:rPr>
                <w:sz w:val="17"/>
              </w:rPr>
              <w:t>Blocks CV integration contract.</w:t>
            </w:r>
          </w:p>
        </w:tc>
      </w:tr>
      <w:tr>
        <w:trPr>
          <w:cantSplit/>
        </w:trPr>
        <w:tc>
          <w:tcPr>
            <w:tcW w:type="dxa" w:w="1008"/>
            <w:vAlign w:val="center"/>
            <w:tcMar>
              <w:top w:w="85" w:type="dxa"/>
              <w:start w:w="110" w:type="dxa"/>
              <w:bottom w:w="85" w:type="dxa"/>
              <w:end w:w="110" w:type="dxa"/>
            </w:tcMar>
            <w:shd w:fill="F7FAFA"/>
          </w:tcPr>
          <w:p>
            <w:r>
              <w:rPr>
                <w:b/>
                <w:color w:val="1F4E46"/>
                <w:sz w:val="17"/>
              </w:rPr>
              <w:t>OD-04</w:t>
            </w:r>
          </w:p>
        </w:tc>
        <w:tc>
          <w:tcPr>
            <w:tcW w:type="dxa" w:w="2016"/>
            <w:vAlign w:val="center"/>
            <w:tcMar>
              <w:top w:w="85" w:type="dxa"/>
              <w:start w:w="110" w:type="dxa"/>
              <w:bottom w:w="85" w:type="dxa"/>
              <w:end w:w="110" w:type="dxa"/>
            </w:tcMar>
          </w:tcPr>
          <w:p>
            <w:r>
              <w:rPr>
                <w:sz w:val="17"/>
              </w:rPr>
              <w:t>Dataset validation</w:t>
            </w:r>
          </w:p>
        </w:tc>
        <w:tc>
          <w:tcPr>
            <w:tcW w:type="dxa" w:w="3312"/>
            <w:vAlign w:val="center"/>
            <w:tcMar>
              <w:top w:w="85" w:type="dxa"/>
              <w:start w:w="110" w:type="dxa"/>
              <w:bottom w:w="85" w:type="dxa"/>
              <w:end w:w="110" w:type="dxa"/>
            </w:tcMar>
          </w:tcPr>
          <w:p>
            <w:r>
              <w:rPr>
                <w:sz w:val="17"/>
              </w:rPr>
              <w:t>Schema audit, unit consistency, provenance, and license review</w:t>
            </w:r>
          </w:p>
        </w:tc>
        <w:tc>
          <w:tcPr>
            <w:tcW w:type="dxa" w:w="1152"/>
            <w:vAlign w:val="center"/>
            <w:tcMar>
              <w:top w:w="85" w:type="dxa"/>
              <w:start w:w="110" w:type="dxa"/>
              <w:bottom w:w="85" w:type="dxa"/>
              <w:end w:w="110" w:type="dxa"/>
            </w:tcMar>
          </w:tcPr>
          <w:p>
            <w:pPr>
              <w:jc w:val="center"/>
            </w:pPr>
            <w:r>
              <w:rPr>
                <w:sz w:val="17"/>
              </w:rPr>
              <w:t>High</w:t>
            </w:r>
          </w:p>
        </w:tc>
        <w:tc>
          <w:tcPr>
            <w:tcW w:type="dxa" w:w="2304"/>
            <w:vAlign w:val="center"/>
            <w:tcMar>
              <w:top w:w="85" w:type="dxa"/>
              <w:start w:w="110" w:type="dxa"/>
              <w:bottom w:w="85" w:type="dxa"/>
              <w:end w:w="110" w:type="dxa"/>
            </w:tcMar>
          </w:tcPr>
          <w:p>
            <w:r>
              <w:rPr>
                <w:sz w:val="17"/>
              </w:rPr>
              <w:t>Current localized nutrition dataset cannot be treated as trusted without this.</w:t>
            </w:r>
          </w:p>
        </w:tc>
      </w:tr>
      <w:tr>
        <w:trPr>
          <w:cantSplit/>
        </w:trPr>
        <w:tc>
          <w:tcPr>
            <w:tcW w:type="dxa" w:w="1008"/>
            <w:vAlign w:val="center"/>
            <w:tcMar>
              <w:top w:w="85" w:type="dxa"/>
              <w:start w:w="110" w:type="dxa"/>
              <w:bottom w:w="85" w:type="dxa"/>
              <w:end w:w="110" w:type="dxa"/>
            </w:tcMar>
            <w:shd w:fill="F7FAFA"/>
          </w:tcPr>
          <w:p>
            <w:r>
              <w:rPr>
                <w:b/>
                <w:color w:val="1F4E46"/>
                <w:sz w:val="17"/>
              </w:rPr>
              <w:t>OD-05</w:t>
            </w:r>
          </w:p>
        </w:tc>
        <w:tc>
          <w:tcPr>
            <w:tcW w:type="dxa" w:w="2016"/>
            <w:vAlign w:val="center"/>
            <w:tcMar>
              <w:top w:w="85" w:type="dxa"/>
              <w:start w:w="110" w:type="dxa"/>
              <w:bottom w:w="85" w:type="dxa"/>
              <w:end w:w="110" w:type="dxa"/>
            </w:tcMar>
          </w:tcPr>
          <w:p>
            <w:r>
              <w:rPr>
                <w:sz w:val="17"/>
              </w:rPr>
              <w:t>Recipe corpus preprocessing</w:t>
            </w:r>
          </w:p>
        </w:tc>
        <w:tc>
          <w:tcPr>
            <w:tcW w:type="dxa" w:w="3312"/>
            <w:vAlign w:val="center"/>
            <w:tcMar>
              <w:top w:w="85" w:type="dxa"/>
              <w:start w:w="110" w:type="dxa"/>
              <w:bottom w:w="85" w:type="dxa"/>
              <w:end w:w="110" w:type="dxa"/>
            </w:tcMar>
          </w:tcPr>
          <w:p>
            <w:r>
              <w:rPr>
                <w:sz w:val="17"/>
              </w:rPr>
              <w:t>Canonical ingredient vocabulary, deduplication, dietary tags, and allergen exclusion handling</w:t>
            </w:r>
          </w:p>
        </w:tc>
        <w:tc>
          <w:tcPr>
            <w:tcW w:type="dxa" w:w="1152"/>
            <w:vAlign w:val="center"/>
            <w:tcMar>
              <w:top w:w="85" w:type="dxa"/>
              <w:start w:w="110" w:type="dxa"/>
              <w:bottom w:w="85" w:type="dxa"/>
              <w:end w:w="110" w:type="dxa"/>
            </w:tcMar>
          </w:tcPr>
          <w:p>
            <w:pPr>
              <w:jc w:val="center"/>
            </w:pPr>
            <w:r>
              <w:rPr>
                <w:sz w:val="17"/>
              </w:rPr>
              <w:t>Medium</w:t>
            </w:r>
          </w:p>
        </w:tc>
        <w:tc>
          <w:tcPr>
            <w:tcW w:type="dxa" w:w="2304"/>
            <w:vAlign w:val="center"/>
            <w:tcMar>
              <w:top w:w="85" w:type="dxa"/>
              <w:start w:w="110" w:type="dxa"/>
              <w:bottom w:w="85" w:type="dxa"/>
              <w:end w:w="110" w:type="dxa"/>
            </w:tcMar>
          </w:tcPr>
          <w:p>
            <w:r>
              <w:rPr>
                <w:sz w:val="17"/>
              </w:rPr>
              <w:t>Affects recipe quality, grounding quality, and discussion reliability.</w:t>
            </w:r>
          </w:p>
        </w:tc>
      </w:tr>
    </w:tbl>
    <w:p/>
    <w:p>
      <w:pPr>
        <w:keepNext/>
        <w:pBdr>
          <w:bottom w:val="single" w:sz="8" w:space="2" w:color="B7D7D1"/>
        </w:pBdr>
      </w:pPr>
      <w:r>
        <w:rPr>
          <w:b/>
          <w:color w:val="1F4E46"/>
          <w:sz w:val="26"/>
        </w:rPr>
        <w:t>5. Immediate document updates required</w:t>
      </w:r>
    </w:p>
    <w:p>
      <w:pPr>
        <w:ind w:left="288" w:hanging="216"/>
      </w:pPr>
      <w:r>
        <w:rPr>
          <w:b/>
        </w:rPr>
        <w:t xml:space="preserve">• </w:t>
      </w:r>
      <w:r>
        <w:t>Revise the PRD and any sprint documents so they explicitly state Flutter + Python/FastAPI as the locked stack.</w:t>
      </w:r>
    </w:p>
    <w:p>
      <w:pPr>
        <w:ind w:left="288" w:hanging="216"/>
      </w:pPr>
      <w:r>
        <w:rPr>
          <w:b/>
        </w:rPr>
        <w:t xml:space="preserve">• </w:t>
      </w:r>
      <w:r>
        <w:t>Update API contracts to separate barcode lookup from image recognition and nutrition estimation.</w:t>
      </w:r>
    </w:p>
    <w:p>
      <w:pPr>
        <w:ind w:left="288" w:hanging="216"/>
      </w:pPr>
      <w:r>
        <w:rPr>
          <w:b/>
        </w:rPr>
        <w:t xml:space="preserve">• </w:t>
      </w:r>
      <w:r>
        <w:t>Document the backend-only integration rule in mobile and backend deliverables to prevent direct provider calls from the app.</w:t>
      </w:r>
    </w:p>
    <w:p>
      <w:pPr>
        <w:ind w:left="288" w:hanging="216"/>
      </w:pPr>
      <w:r>
        <w:rPr>
          <w:b/>
        </w:rPr>
        <w:t xml:space="preserve">• </w:t>
      </w:r>
      <w:r>
        <w:t>Add a formal dataset validation note before the Egyptian-food dataset is treated as authoritative.</w:t>
      </w:r>
    </w:p>
    <w:p>
      <w:pPr>
        <w:ind w:left="288" w:hanging="216"/>
      </w:pPr>
      <w:r>
        <w:rPr>
          <w:b/>
        </w:rPr>
        <w:t xml:space="preserve">• </w:t>
      </w:r>
      <w:r>
        <w:t>Create provider interface notes for the conversational layer and recipe layer so unresolved vendor choices do not hard-code the architecture.</w:t>
      </w:r>
    </w:p>
    <w:p>
      <w:pPr>
        <w:ind w:left="288" w:hanging="216"/>
      </w:pPr>
      <w:r>
        <w:rPr>
          <w:b/>
        </w:rPr>
        <w:t xml:space="preserve">• </w:t>
      </w:r>
      <w:r>
        <w:t>Document the recipe dataset as recipe-layer-only, with no use in lookup or packaged-food retrieval.</w:t>
      </w:r>
    </w:p>
    <w:p>
      <w:pPr>
        <w:ind w:left="288" w:hanging="216"/>
      </w:pPr>
      <w:r>
        <w:rPr>
          <w:b/>
        </w:rPr>
        <w:t xml:space="preserve">• </w:t>
      </w:r>
      <w:r>
        <w:t>Add recipe discussion grounding rules to the conversational design notes and API contract.</w:t>
      </w:r>
    </w:p>
    <w:p>
      <w:pPr>
        <w:keepNext/>
        <w:pBdr>
          <w:bottom w:val="single" w:sz="8" w:space="2" w:color="B7D7D1"/>
        </w:pBdr>
      </w:pPr>
      <w:r>
        <w:rPr>
          <w:b/>
          <w:color w:val="1F4E46"/>
          <w:sz w:val="26"/>
        </w:rPr>
        <w:t>6. Source basis for this revision</w:t>
      </w:r>
    </w:p>
    <w:p>
      <w:pPr>
        <w:ind w:left="288" w:hanging="216"/>
      </w:pPr>
      <w:r>
        <w:rPr>
          <w:b/>
        </w:rPr>
        <w:t xml:space="preserve">• </w:t>
      </w:r>
      <w:r>
        <w:t>Prior workflow plan and proposal artifacts.</w:t>
      </w:r>
    </w:p>
    <w:p>
      <w:pPr>
        <w:ind w:left="288" w:hanging="216"/>
      </w:pPr>
      <w:r>
        <w:rPr>
          <w:b/>
        </w:rPr>
        <w:t xml:space="preserve">• </w:t>
      </w:r>
      <w:r>
        <w:t>Previous architecture baseline and decision log.</w:t>
      </w:r>
    </w:p>
    <w:p>
      <w:pPr>
        <w:ind w:left="288" w:hanging="216"/>
      </w:pPr>
      <w:r>
        <w:rPr>
          <w:b/>
        </w:rPr>
        <w:t xml:space="preserve">• </w:t>
      </w:r>
      <w:r>
        <w:t>Latest team discussion locking Python + FastAPI + Flutter and confirming Flutter-to-backend integration.</w:t>
      </w:r>
    </w:p>
    <w:p>
      <w:pPr>
        <w:ind w:left="288" w:hanging="216"/>
      </w:pPr>
      <w:r>
        <w:rPr>
          <w:b/>
        </w:rPr>
        <w:t xml:space="preserve">• </w:t>
      </w:r>
      <w:r>
        <w:t>Latest clarification that the recipe dataset will be used in recipe generation and recipe discussion only, without replacing existing lookup or nutrition sources.</w:t>
      </w:r>
    </w:p>
    <w:sectPr w:rsidR="00FC693F" w:rsidRPr="0006063C" w:rsidSect="00034616">
      <w:footerReference w:type="default" r:id="rId9"/>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46"/>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E5E5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E5E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w:hAnsi="Aptos"/>
      <w:b/>
      <w:color w:val="1F4E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80"/>
    </w:pPr>
    <w:rPr>
      <w:rFonts w:asciiTheme="majorHAnsi" w:eastAsiaTheme="majorEastAsia" w:hAnsiTheme="majorHAnsi" w:cstheme="majorBidi" w:ascii="Aptos" w:hAnsi="Aptos"/>
      <w:b w:val="0"/>
      <w:i/>
      <w:iCs/>
      <w:color w:val="5B6B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basedOn w:val="Normal"/>
    <w:pPr>
      <w:spacing w:after="40"/>
    </w:pPr>
    <w:rPr>
      <w:rFonts w:ascii="Aptos" w:hAnsi="Aptos"/>
      <w:smallCaps/>
      <w:color w:val="6A7A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