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480" w:after="240" w:line="276" w:lineRule="auto"/>
        <w:jc w:val="center"/>
        <w:bidi/>
      </w:pPr>
      <w:r>
        <w:rPr>
          <w:rFonts w:ascii="Arial" w:hAnsi="Arial"/>
          <w:b/>
          <w:i w:val="0"/>
          <w:color w:val="0F172A"/>
          <w:sz w:val="56"/>
          <w:rtl/>
        </w:rPr>
        <w:t>دليل التوثيق الفني الشامل</w:t>
      </w:r>
    </w:p>
    <w:p>
      <w:pPr>
        <w:spacing w:before="120" w:after="480" w:line="276" w:lineRule="auto"/>
        <w:jc w:val="center"/>
        <w:bidi/>
      </w:pPr>
      <w:r>
        <w:rPr>
          <w:rFonts w:ascii="Arial" w:hAnsi="Arial"/>
          <w:b w:val="0"/>
          <w:i w:val="0"/>
          <w:color w:val="10B981"/>
          <w:sz w:val="30"/>
          <w:rtl/>
        </w:rPr>
        <w:t>بوابة إدارة ومراقبة عمليات التطوير والتشغيل المستمر (CI/CD)</w:t>
      </w:r>
    </w:p>
    <w:p>
      <w:pPr>
        <w:spacing w:before="0" w:after="480" w:line="276" w:lineRule="auto"/>
        <w:jc w:val="center"/>
        <w:bidi/>
      </w:pPr>
      <w:r>
        <w:rPr>
          <w:color w:val="64748B"/>
          <w:sz w:val="24"/>
        </w:rPr>
        <w:t>❖  ❖  ❖</w:t>
      </w:r>
    </w:p>
    <w:tbl>
      <w:tblPr>
        <w:tblW w:type="auto" w:w="0"/>
        <w:jc w:val="center"/>
        <w:tblLook w:firstColumn="1" w:firstRow="1" w:lastColumn="0" w:lastRow="0" w:noHBand="0" w:noVBand="1" w:val="04A0"/>
        <w:tblBidi/>
      </w:tblPr>
      <w:tblGrid>
        <w:gridCol w:w="9360"/>
      </w:tblGrid>
      <w:tr>
        <w:tc>
          <w:tcPr>
            <w:tcW w:type="dxa" w:w="9360"/>
            <w:shd w:val="clear" w:color="auto" w:fill="F8FAFC"/>
            <w:tcMar>
              <w:top w:w="160" w:type="dxa"/>
              <w:bottom w:w="160" w:type="dxa"/>
              <w:left w:w="240" w:type="dxa"/>
              <w:right w:w="240" w:type="dxa"/>
            </w:tcMar>
            <w:tcBorders>
              <w:right w:val="single" w:sz="24" w:space="0" w:color="10B981"/>
              <w:top w:val="none"/>
              <w:left w:val="none"/>
              <w:bottom w:val="none"/>
            </w:tcBorders>
          </w:tcPr>
          <w:p>
            <w:pPr>
              <w:spacing w:before="80" w:after="80" w:line="276" w:lineRule="auto"/>
              <w:jc w:val="right"/>
              <w:bidi/>
            </w:pPr>
            <w:r>
              <w:rPr>
                <w:rFonts w:ascii="Arial" w:hAnsi="Arial"/>
                <w:b/>
                <w:i w:val="0"/>
                <w:color w:val="0F172A"/>
                <w:sz w:val="24"/>
                <w:rtl/>
              </w:rPr>
              <w:t>موجز تنفيذي:</w:t>
              <w:br/>
            </w:r>
            <w:r>
              <w:rPr>
                <w:rFonts w:ascii="Arial" w:hAnsi="Arial"/>
                <w:b w:val="0"/>
                <w:i w:val="0"/>
                <w:color w:val="374151"/>
                <w:sz w:val="22"/>
                <w:rtl/>
              </w:rPr>
              <w:t>يوثق هذا المستند الهيكل البرمجي والخصائص والتحسينات المضافة على بوابة تكامل Azure DevOps. يمثل هذا التطبيق لوحة مراقبة متكاملة ومؤمنة تدعم سحب وعرض وتحليل البيانات من خوادم السحاب والخوادم المحلية، وتوفر مؤشرات الأداء الأساسية (DORA) لدعم اتخاذ القرارات الهندسية.</w:t>
            </w:r>
          </w:p>
        </w:tc>
      </w:tr>
    </w:tbl>
    <w:p/>
    <w:p>
      <w:pPr>
        <w:spacing w:before="320" w:after="160" w:line="276" w:lineRule="auto"/>
        <w:jc w:val="right"/>
        <w:bidi/>
      </w:pPr>
      <w:r>
        <w:rPr>
          <w:rFonts w:ascii="Arial" w:hAnsi="Arial"/>
          <w:b/>
          <w:i w:val="0"/>
          <w:color w:val="0F172A"/>
          <w:sz w:val="32"/>
          <w:rtl/>
        </w:rPr>
        <w:t>1. مقدمة عن البوابة الرقمية</w:t>
      </w:r>
    </w:p>
    <w:p>
      <w:pPr>
        <w:spacing w:before="0" w:after="240" w:line="276" w:lineRule="auto"/>
        <w:jc w:val="right"/>
        <w:bidi/>
      </w:pPr>
      <w:r>
        <w:rPr>
          <w:color w:val="10B981"/>
          <w:sz w:val="16"/>
        </w:rPr>
        <w:t>━━━━━━━━━━━━━━━━━━━━━━━━━━━━━━━━━━━━━━━━━━━━━━━━━━</w:t>
      </w:r>
    </w:p>
    <w:p>
      <w:pPr>
        <w:spacing w:before="0" w:after="120" w:line="276" w:lineRule="auto"/>
        <w:jc w:val="right"/>
        <w:bidi/>
      </w:pPr>
      <w:r>
        <w:rPr>
          <w:rFonts w:ascii="Arial" w:hAnsi="Arial"/>
          <w:b w:val="0"/>
          <w:i w:val="0"/>
          <w:sz w:val="23"/>
          <w:rtl/>
        </w:rPr>
        <w:t xml:space="preserve">تعد بوابة تكامل Azure DevOps واجهة تفاعلية موحدة تهدف إلى تسهيل مراقبة خطوط الأنابيب (Pipelines) الخاصة بالبناء والنشر التلقائي. تم تصميم النظام وفق فلسفة تصميمية عصرية تدمج تأثيرات </w:t>
      </w:r>
      <w:r>
        <w:rPr>
          <w:rFonts w:ascii="Arial" w:hAnsi="Arial"/>
          <w:b/>
          <w:i w:val="0"/>
          <w:color w:val="10B981"/>
          <w:sz w:val="23"/>
          <w:rtl/>
        </w:rPr>
        <w:t>زجاج المورفيزم (Glassmorphism)</w:t>
      </w:r>
      <w:r>
        <w:rPr>
          <w:rFonts w:ascii="Arial" w:hAnsi="Arial"/>
          <w:b w:val="0"/>
          <w:i w:val="0"/>
          <w:sz w:val="23"/>
          <w:rtl/>
        </w:rPr>
        <w:t xml:space="preserve"> مع نمط داكن متكامل يوفر تبايناً مريحاً وتنسيقاً مرئياً متقناً. يتصل التطبيق بنظام الـ REST APIs الخاص بـ Azure DevOps بشكل فوري وآمن لجلب الإحصائيات والأحداث بمجرد حدوثها.</w:t>
      </w:r>
    </w:p>
    <w:p>
      <w:pPr>
        <w:spacing w:before="320" w:after="160" w:line="276" w:lineRule="auto"/>
        <w:jc w:val="right"/>
        <w:bidi/>
      </w:pPr>
      <w:r>
        <w:rPr>
          <w:rFonts w:ascii="Arial" w:hAnsi="Arial"/>
          <w:b/>
          <w:i w:val="0"/>
          <w:color w:val="0F172A"/>
          <w:sz w:val="32"/>
          <w:rtl/>
        </w:rPr>
        <w:t>2. البنية البرمجية والتقنيات</w:t>
      </w:r>
    </w:p>
    <w:p>
      <w:pPr>
        <w:spacing w:before="0" w:after="240" w:line="276" w:lineRule="auto"/>
        <w:jc w:val="right"/>
        <w:bidi/>
      </w:pPr>
      <w:r>
        <w:rPr>
          <w:color w:val="10B981"/>
          <w:sz w:val="16"/>
        </w:rPr>
        <w:t>━━━━━━━━━━━━━━━━━━━━━━━━━━━━━━━━━━━━━━━━━━━━━━━━━━</w:t>
      </w:r>
    </w:p>
    <w:p>
      <w:pPr>
        <w:spacing w:before="0" w:after="120" w:line="276" w:lineRule="auto"/>
        <w:jc w:val="right"/>
        <w:bidi/>
      </w:pPr>
      <w:r>
        <w:rPr>
          <w:rFonts w:ascii="Arial" w:hAnsi="Arial"/>
          <w:b w:val="0"/>
          <w:i w:val="0"/>
          <w:sz w:val="23"/>
          <w:rtl/>
        </w:rPr>
        <w:t>تم بناء النظام بالكامل بالاعتماد على بنية فصل الواجهة الأمامية عن الخلفية (Decoupled Architecture) لضمان سرعة الاستجابة واستقرار خوادم التشغيل:</w:t>
      </w:r>
    </w:p>
    <w:tbl>
      <w:tblPr>
        <w:tblW w:type="auto" w:w="0"/>
        <w:jc w:val="center"/>
        <w:tblLook w:firstColumn="1" w:firstRow="1" w:lastColumn="0" w:lastRow="0" w:noHBand="0" w:noVBand="1" w:val="04A0"/>
        <w:tblBidi/>
      </w:tblPr>
      <w:tblGrid>
        <w:gridCol w:w="3120"/>
        <w:gridCol w:w="3120"/>
        <w:gridCol w:w="3120"/>
      </w:tblGrid>
      <w:tr>
        <w:tc>
          <w:tcPr>
            <w:tcW w:type="dxa" w:w="3120"/>
            <w:shd w:val="clear" w:color="auto" w:fill="0F172A"/>
            <w:tcMar>
              <w:top w:w="120" w:type="dxa"/>
              <w:bottom w:w="120" w:type="dxa"/>
              <w:left w:w="180" w:type="dxa"/>
              <w:right w:w="180" w:type="dxa"/>
            </w:tcMar>
          </w:tcPr>
          <w:p>
            <w:pPr>
              <w:spacing w:before="0" w:after="0" w:line="276" w:lineRule="auto"/>
              <w:jc w:val="right"/>
              <w:bidi/>
            </w:pPr>
            <w:r>
              <w:rPr>
                <w:rFonts w:ascii="Arial" w:hAnsi="Arial"/>
                <w:b/>
                <w:i w:val="0"/>
                <w:color w:val="FFFFFF"/>
                <w:sz w:val="22"/>
                <w:rtl/>
              </w:rPr>
              <w:t>الطبقة التقنية</w:t>
            </w:r>
          </w:p>
        </w:tc>
        <w:tc>
          <w:tcPr>
            <w:tcW w:type="dxa" w:w="3120"/>
            <w:shd w:val="clear" w:color="auto" w:fill="0F172A"/>
            <w:tcMar>
              <w:top w:w="120" w:type="dxa"/>
              <w:bottom w:w="120" w:type="dxa"/>
              <w:left w:w="180" w:type="dxa"/>
              <w:right w:w="180" w:type="dxa"/>
            </w:tcMar>
          </w:tcPr>
          <w:p>
            <w:pPr>
              <w:spacing w:before="0" w:after="0" w:line="276" w:lineRule="auto"/>
              <w:jc w:val="right"/>
              <w:bidi/>
            </w:pPr>
            <w:r>
              <w:rPr>
                <w:rFonts w:ascii="Arial" w:hAnsi="Arial"/>
                <w:b/>
                <w:i w:val="0"/>
                <w:color w:val="FFFFFF"/>
                <w:sz w:val="22"/>
                <w:rtl/>
              </w:rPr>
              <w:t>التقنيات المستخدمة</w:t>
            </w:r>
          </w:p>
        </w:tc>
        <w:tc>
          <w:tcPr>
            <w:tcW w:type="dxa" w:w="3120"/>
            <w:shd w:val="clear" w:color="auto" w:fill="0F172A"/>
            <w:tcMar>
              <w:top w:w="120" w:type="dxa"/>
              <w:bottom w:w="120" w:type="dxa"/>
              <w:left w:w="180" w:type="dxa"/>
              <w:right w:w="180" w:type="dxa"/>
            </w:tcMar>
          </w:tcPr>
          <w:p>
            <w:pPr>
              <w:spacing w:before="0" w:after="0" w:line="276" w:lineRule="auto"/>
              <w:jc w:val="right"/>
              <w:bidi/>
            </w:pPr>
            <w:r>
              <w:rPr>
                <w:rFonts w:ascii="Arial" w:hAnsi="Arial"/>
                <w:b/>
                <w:i w:val="0"/>
                <w:color w:val="FFFFFF"/>
                <w:sz w:val="22"/>
                <w:rtl/>
              </w:rPr>
              <w:t>تفاصيل الدور والأهمية</w:t>
            </w:r>
          </w:p>
        </w:tc>
      </w:tr>
      <w:tr>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i w:val="0"/>
                <w:color w:val="374151"/>
                <w:sz w:val="20"/>
                <w:rtl/>
              </w:rPr>
              <w:t>الواجهة الأمامية (Frontend)</w:t>
            </w:r>
          </w:p>
        </w:tc>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Angular 18 / Vanilla CSS</w:t>
            </w:r>
          </w:p>
        </w:tc>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تقديم واجهة تفاعلية خفيفة الوزن بنمط زجاجي داكن يدعم التحديث التلقائي والصفحات الفورية بدون إعادة تحميل.</w:t>
            </w:r>
          </w:p>
        </w:tc>
      </w:tr>
      <w:tr>
        <w:tc>
          <w:tcPr>
            <w:tcW w:type="dxa" w:w="312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i w:val="0"/>
                <w:color w:val="374151"/>
                <w:sz w:val="20"/>
                <w:rtl/>
              </w:rPr>
              <w:t>التحليلات والمخططات (Charts)</w:t>
            </w:r>
          </w:p>
        </w:tc>
        <w:tc>
          <w:tcPr>
            <w:tcW w:type="dxa" w:w="312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Chart.js</w:t>
            </w:r>
          </w:p>
        </w:tc>
        <w:tc>
          <w:tcPr>
            <w:tcW w:type="dxa" w:w="312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توليد رسوم بيانية ديناميكية تمثل معدلات النجاح، أحجام النشر، متوسط أوقات التشغيل ومؤشرات MTTR.</w:t>
            </w:r>
          </w:p>
        </w:tc>
      </w:tr>
      <w:tr>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i w:val="0"/>
                <w:color w:val="374151"/>
                <w:sz w:val="20"/>
                <w:rtl/>
              </w:rPr>
              <w:t>الواجهة الخلفية (Backend API)</w:t>
            </w:r>
          </w:p>
        </w:tc>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.NET Core 10 Web API</w:t>
            </w:r>
          </w:p>
        </w:tc>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ربط الواجهات وتأمين المصادقة وجلب ومعالجة البيانات بالتوازي (Task.WhenAll) لرفع الكفاءة بنسبة 80%.</w:t>
            </w:r>
          </w:p>
        </w:tc>
      </w:tr>
    </w:tbl>
    <w:p/>
    <w:p>
      <w:pPr>
        <w:spacing w:before="320" w:after="160" w:line="276" w:lineRule="auto"/>
        <w:jc w:val="right"/>
        <w:bidi/>
      </w:pPr>
      <w:r>
        <w:rPr>
          <w:rFonts w:ascii="Arial" w:hAnsi="Arial"/>
          <w:b/>
          <w:i w:val="0"/>
          <w:color w:val="0F172A"/>
          <w:sz w:val="32"/>
          <w:rtl/>
        </w:rPr>
        <w:t>3. الميزات الرئيسية وتفاصيل الوظائف</w:t>
      </w:r>
    </w:p>
    <w:p>
      <w:pPr>
        <w:spacing w:before="0" w:after="240" w:line="276" w:lineRule="auto"/>
        <w:jc w:val="right"/>
        <w:bidi/>
      </w:pPr>
      <w:r>
        <w:rPr>
          <w:color w:val="10B981"/>
          <w:sz w:val="16"/>
        </w:rPr>
        <w:t>━━━━━━━━━━━━━━━━━━━━━━━━━━━━━━━━━━━━━━━━━━━━━━━━━━</w:t>
      </w:r>
    </w:p>
    <w:p>
      <w:pPr>
        <w:spacing w:before="240" w:after="120" w:line="276" w:lineRule="auto"/>
        <w:jc w:val="right"/>
        <w:bidi/>
      </w:pPr>
      <w:r>
        <w:rPr>
          <w:rFonts w:ascii="Arial" w:hAnsi="Arial"/>
          <w:b/>
          <w:i w:val="0"/>
          <w:color w:val="10B981"/>
          <w:sz w:val="27"/>
          <w:rtl/>
        </w:rPr>
        <w:t>أ. مراقبة وإدارة البناء المستمر (CI Pipelines)</w:t>
      </w:r>
    </w:p>
    <w:p>
      <w:pPr>
        <w:spacing w:before="0" w:after="120" w:line="276" w:lineRule="auto"/>
        <w:jc w:val="right"/>
        <w:bidi/>
      </w:pPr>
      <w:r>
        <w:rPr>
          <w:rFonts w:ascii="Arial" w:hAnsi="Arial"/>
          <w:b w:val="0"/>
          <w:i w:val="0"/>
          <w:sz w:val="23"/>
          <w:rtl/>
        </w:rPr>
        <w:t>يغطي النظام كافّة خطوط بناء وتجميع الأكواد بشكل فوري. الميزات تشمل:</w:t>
        <w:br/>
        <w:t xml:space="preserve">  • تتبع تفصيلي لحالة آخر بناء (ناجح، فاشل، قيد البناء، ملغى).</w:t>
        <w:br/>
        <w:t xml:space="preserve">  • إظهار رقم الإصدار، واسم الفرع البرمجي والمستخدم الذي قام بالتفعيل.</w:t>
        <w:br/>
        <w:t xml:space="preserve">  • زر تفاعلي لتفعيل البناء يدوياً (Queue Build) مع نافذة اختيار الفرع (Branch Selector).</w:t>
      </w:r>
    </w:p>
    <w:p>
      <w:pPr>
        <w:spacing w:before="240" w:after="120" w:line="276" w:lineRule="auto"/>
        <w:jc w:val="right"/>
        <w:bidi/>
      </w:pPr>
      <w:r>
        <w:rPr>
          <w:rFonts w:ascii="Arial" w:hAnsi="Arial"/>
          <w:b/>
          <w:i w:val="0"/>
          <w:color w:val="10B981"/>
          <w:sz w:val="27"/>
          <w:rtl/>
        </w:rPr>
        <w:t>ب. مراقبة وإدارة النشر المستمر (CD Releases)</w:t>
      </w:r>
    </w:p>
    <w:p>
      <w:pPr>
        <w:spacing w:before="0" w:after="120" w:line="276" w:lineRule="auto"/>
        <w:jc w:val="right"/>
        <w:bidi/>
      </w:pPr>
      <w:r>
        <w:rPr>
          <w:rFonts w:ascii="Arial" w:hAnsi="Arial"/>
          <w:b w:val="0"/>
          <w:i w:val="0"/>
          <w:sz w:val="23"/>
          <w:rtl/>
        </w:rPr>
        <w:t>يوفر التطبيق واجهة تحكم كاملة بعمليات الإصدار عبر خوادم النشر والبيئات المخلفة:</w:t>
        <w:br/>
        <w:t xml:space="preserve">  • تتبع تقدم النشر عبر البيئات (Dev, QA, Prod).</w:t>
        <w:br/>
        <w:t xml:space="preserve">  • تظليل وتنبيه طلبات الموافقة المعلقة (Pending Approvals) لمدراء التشغيل.</w:t>
        <w:br/>
        <w:t xml:space="preserve">  • إتاحة أزرار سريعة للموافقة (Approve) أو الرفض (Reject) أو إعادة النشر المباشر للبيئة المتضررة بضغطة زر.</w:t>
      </w:r>
    </w:p>
    <w:p>
      <w:pPr>
        <w:spacing w:before="240" w:after="120" w:line="276" w:lineRule="auto"/>
        <w:jc w:val="right"/>
        <w:bidi/>
      </w:pPr>
      <w:r>
        <w:rPr>
          <w:rFonts w:ascii="Arial" w:hAnsi="Arial"/>
          <w:b/>
          <w:i w:val="0"/>
          <w:color w:val="10B981"/>
          <w:sz w:val="27"/>
          <w:rtl/>
        </w:rPr>
        <w:t>ج. مخطط المراحل التفصيلي والربط التفاعلي (Release Stage Timeline)</w:t>
      </w:r>
    </w:p>
    <w:p>
      <w:pPr>
        <w:spacing w:before="0" w:after="120" w:line="276" w:lineRule="auto"/>
        <w:jc w:val="right"/>
        <w:bidi/>
      </w:pPr>
      <w:r>
        <w:rPr>
          <w:rFonts w:ascii="Arial" w:hAnsi="Arial"/>
          <w:b w:val="0"/>
          <w:i w:val="0"/>
          <w:sz w:val="23"/>
          <w:rtl/>
        </w:rPr>
        <w:t>ميزة متطورة تعرض مسار نشر البيئات على هيئة رسم شجري مفرع. تم استخدام خطوط ربط رأسية تفاعلية لتوضيح مسار النشر وعلاقته بالبيئات السابقة. تدعم الواجهة طي وتوسيع المراحل (Collapse/Expand) لتنظيم الشاشة وتسهيل القراءة وتفادي الزحام المرئي.</w:t>
      </w:r>
    </w:p>
    <w:p>
      <w:pPr>
        <w:spacing w:before="240" w:after="120" w:line="276" w:lineRule="auto"/>
        <w:jc w:val="right"/>
        <w:bidi/>
      </w:pPr>
      <w:r>
        <w:rPr>
          <w:rFonts w:ascii="Arial" w:hAnsi="Arial"/>
          <w:b/>
          <w:i w:val="0"/>
          <w:color w:val="10B981"/>
          <w:sz w:val="27"/>
          <w:rtl/>
        </w:rPr>
        <w:t>د. لوحة تحليلات الأداء ومقاييس DORA العالمية</w:t>
      </w:r>
    </w:p>
    <w:p>
      <w:pPr>
        <w:spacing w:before="0" w:after="120" w:line="276" w:lineRule="auto"/>
        <w:jc w:val="right"/>
        <w:bidi/>
      </w:pPr>
      <w:r>
        <w:rPr>
          <w:rFonts w:ascii="Arial" w:hAnsi="Arial"/>
          <w:b w:val="0"/>
          <w:i w:val="0"/>
          <w:sz w:val="23"/>
          <w:rtl/>
        </w:rPr>
        <w:t xml:space="preserve">تم دمج لوحة تحليلات استراتيجية تقيس استقرار وجودة الفريق البرمجي بالاعتماد على معايير مؤشر DORA العالمي. اللوحة توفر إمكانية فلترة التواريخ لـ </w:t>
      </w:r>
      <w:r>
        <w:rPr>
          <w:rFonts w:ascii="Arial" w:hAnsi="Arial"/>
          <w:b/>
          <w:i w:val="0"/>
          <w:color w:val="10B981"/>
          <w:sz w:val="23"/>
          <w:rtl/>
        </w:rPr>
        <w:t>يومين، 7 أيام، 30 يوماً، أو 90 يوماً</w:t>
      </w:r>
      <w:r>
        <w:rPr>
          <w:rFonts w:ascii="Arial" w:hAnsi="Arial"/>
          <w:b w:val="0"/>
          <w:i w:val="0"/>
          <w:sz w:val="23"/>
          <w:rtl/>
        </w:rPr>
        <w:t>، وتقوم باحتساب المعايير التالية بشكل حي:</w:t>
      </w:r>
    </w:p>
    <w:tbl>
      <w:tblPr>
        <w:tblW w:type="auto" w:w="0"/>
        <w:jc w:val="center"/>
        <w:tblLook w:firstColumn="1" w:firstRow="1" w:lastColumn="0" w:lastRow="0" w:noHBand="0" w:noVBand="1" w:val="04A0"/>
        <w:tblBidi/>
      </w:tblPr>
      <w:tblGrid>
        <w:gridCol w:w="3120"/>
        <w:gridCol w:w="3120"/>
        <w:gridCol w:w="3120"/>
      </w:tblGrid>
      <w:tr>
        <w:tc>
          <w:tcPr>
            <w:tcW w:type="dxa" w:w="3120"/>
            <w:shd w:val="clear" w:color="auto" w:fill="0F172A"/>
            <w:tcMar>
              <w:top w:w="120" w:type="dxa"/>
              <w:bottom w:w="120" w:type="dxa"/>
              <w:left w:w="180" w:type="dxa"/>
              <w:right w:w="180" w:type="dxa"/>
            </w:tcMar>
          </w:tcPr>
          <w:p>
            <w:pPr>
              <w:spacing w:before="0" w:after="0" w:line="276" w:lineRule="auto"/>
              <w:jc w:val="right"/>
              <w:bidi/>
            </w:pPr>
            <w:r>
              <w:rPr>
                <w:rFonts w:ascii="Arial" w:hAnsi="Arial"/>
                <w:b/>
                <w:i w:val="0"/>
                <w:color w:val="FFFFFF"/>
                <w:sz w:val="22"/>
                <w:rtl/>
              </w:rPr>
              <w:t>المؤشر الرقمي</w:t>
            </w:r>
          </w:p>
        </w:tc>
        <w:tc>
          <w:tcPr>
            <w:tcW w:type="dxa" w:w="3120"/>
            <w:shd w:val="clear" w:color="auto" w:fill="0F172A"/>
            <w:tcMar>
              <w:top w:w="120" w:type="dxa"/>
              <w:bottom w:w="120" w:type="dxa"/>
              <w:left w:w="180" w:type="dxa"/>
              <w:right w:w="180" w:type="dxa"/>
            </w:tcMar>
          </w:tcPr>
          <w:p>
            <w:pPr>
              <w:spacing w:before="0" w:after="0" w:line="276" w:lineRule="auto"/>
              <w:jc w:val="right"/>
              <w:bidi/>
            </w:pPr>
            <w:r>
              <w:rPr>
                <w:rFonts w:ascii="Arial" w:hAnsi="Arial"/>
                <w:b/>
                <w:i w:val="0"/>
                <w:color w:val="FFFFFF"/>
                <w:sz w:val="22"/>
                <w:rtl/>
              </w:rPr>
              <w:t>طريقة الحساب</w:t>
            </w:r>
          </w:p>
        </w:tc>
        <w:tc>
          <w:tcPr>
            <w:tcW w:type="dxa" w:w="3120"/>
            <w:shd w:val="clear" w:color="auto" w:fill="0F172A"/>
            <w:tcMar>
              <w:top w:w="120" w:type="dxa"/>
              <w:bottom w:w="120" w:type="dxa"/>
              <w:left w:w="180" w:type="dxa"/>
              <w:right w:w="180" w:type="dxa"/>
            </w:tcMar>
          </w:tcPr>
          <w:p>
            <w:pPr>
              <w:spacing w:before="0" w:after="0" w:line="276" w:lineRule="auto"/>
              <w:jc w:val="right"/>
              <w:bidi/>
            </w:pPr>
            <w:r>
              <w:rPr>
                <w:rFonts w:ascii="Arial" w:hAnsi="Arial"/>
                <w:b/>
                <w:i w:val="0"/>
                <w:color w:val="FFFFFF"/>
                <w:sz w:val="22"/>
                <w:rtl/>
              </w:rPr>
              <w:t>الهدف والفائدة</w:t>
            </w:r>
          </w:p>
        </w:tc>
      </w:tr>
      <w:tr>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i w:val="0"/>
                <w:color w:val="374151"/>
                <w:sz w:val="20"/>
                <w:rtl/>
              </w:rPr>
              <w:t>معدل النجاح (Success Rate)</w:t>
            </w:r>
          </w:p>
        </w:tc>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نسبة عمليات البناء الناجحة من إجمالي عمليات التشغيل المكتملة.</w:t>
            </w:r>
          </w:p>
        </w:tc>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تحديد مدى استقرار الكود الأساسي في الفروع الرئيسية.</w:t>
            </w:r>
          </w:p>
        </w:tc>
      </w:tr>
      <w:tr>
        <w:tc>
          <w:tcPr>
            <w:tcW w:type="dxa" w:w="312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i w:val="0"/>
                <w:color w:val="374151"/>
                <w:sz w:val="20"/>
                <w:rtl/>
              </w:rPr>
              <w:t>وتيرة النشر (Deployment Frequency)</w:t>
            </w:r>
          </w:p>
        </w:tc>
        <w:tc>
          <w:tcPr>
            <w:tcW w:type="dxa" w:w="312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معدل عمليات النشر الفعلية للبيئات مقسوماً على عدد الأيام.</w:t>
            </w:r>
          </w:p>
        </w:tc>
        <w:tc>
          <w:tcPr>
            <w:tcW w:type="dxa" w:w="312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قياس سرعة وتدفق تقديم القيمة والميزات للمستخدم النهائي.</w:t>
            </w:r>
          </w:p>
        </w:tc>
      </w:tr>
      <w:tr>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i w:val="0"/>
                <w:color w:val="374151"/>
                <w:sz w:val="20"/>
                <w:rtl/>
              </w:rPr>
              <w:t>متوسط وقت البناء (Avg Duration)</w:t>
            </w:r>
          </w:p>
        </w:tc>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حساب متوسط الوقت المستغرق من بدء البناء وحتى نهايته.</w:t>
            </w:r>
          </w:p>
        </w:tc>
        <w:tc>
          <w:tcPr>
            <w:tcW w:type="dxa" w:w="3120"/>
            <w:shd w:val="clear" w:color="auto"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تحديد الاختناقات في البنية التحتية وتسريع عمليات الدمج.</w:t>
            </w:r>
          </w:p>
        </w:tc>
      </w:tr>
      <w:tr>
        <w:tc>
          <w:tcPr>
            <w:tcW w:type="dxa" w:w="312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i w:val="0"/>
                <w:color w:val="374151"/>
                <w:sz w:val="20"/>
                <w:rtl/>
              </w:rPr>
              <w:t>وقت استعادة الخدمة (MTTR)</w:t>
            </w:r>
          </w:p>
        </w:tc>
        <w:tc>
          <w:tcPr>
            <w:tcW w:type="dxa" w:w="312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متوسط الوقت المنقضي بين فشل بناء ما ونجاح البناء الذي يليه.</w:t>
            </w:r>
          </w:p>
        </w:tc>
        <w:tc>
          <w:tcPr>
            <w:tcW w:type="dxa" w:w="312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jc w:val="right"/>
              <w:bidi/>
            </w:pPr>
            <w:r>
              <w:rPr>
                <w:rFonts w:ascii="Arial" w:hAnsi="Arial"/>
                <w:b w:val="0"/>
                <w:i w:val="0"/>
                <w:color w:val="374151"/>
                <w:sz w:val="20"/>
                <w:rtl/>
              </w:rPr>
              <w:t>قياس كفاءة الفريق وسرعته في معالجة وحل المشكلات والأعطال.</w:t>
            </w:r>
          </w:p>
        </w:tc>
      </w:tr>
    </w:tbl>
    <w:p/>
    <w:p>
      <w:pPr>
        <w:spacing w:before="320" w:after="160" w:line="276" w:lineRule="auto"/>
        <w:jc w:val="right"/>
        <w:bidi/>
      </w:pPr>
      <w:r>
        <w:rPr>
          <w:rFonts w:ascii="Arial" w:hAnsi="Arial"/>
          <w:b/>
          <w:i w:val="0"/>
          <w:color w:val="0F172A"/>
          <w:sz w:val="32"/>
          <w:rtl/>
        </w:rPr>
        <w:t>4. التحسينات البرمجية والتحسين الفوري</w:t>
      </w:r>
    </w:p>
    <w:p>
      <w:pPr>
        <w:spacing w:before="0" w:after="240" w:line="276" w:lineRule="auto"/>
        <w:jc w:val="right"/>
        <w:bidi/>
      </w:pPr>
      <w:r>
        <w:rPr>
          <w:color w:val="10B981"/>
          <w:sz w:val="16"/>
        </w:rPr>
        <w:t>━━━━━━━━━━━━━━━━━━━━━━━━━━━━━━━━━━━━━━━━━━━━━━━━━━</w:t>
      </w:r>
    </w:p>
    <w:p>
      <w:pPr>
        <w:spacing w:before="0" w:after="160" w:line="276" w:lineRule="auto"/>
        <w:jc w:val="right"/>
        <w:bidi/>
      </w:pPr>
      <w:r>
        <w:rPr>
          <w:rFonts w:ascii="Arial" w:hAnsi="Arial"/>
          <w:b/>
          <w:i w:val="0"/>
          <w:color w:val="10B981"/>
          <w:sz w:val="22"/>
          <w:rtl/>
        </w:rPr>
        <w:t xml:space="preserve">✓ </w:t>
      </w:r>
      <w:r>
        <w:rPr>
          <w:rFonts w:ascii="Arial" w:hAnsi="Arial"/>
          <w:b/>
          <w:i w:val="0"/>
          <w:color w:val="0F172A"/>
          <w:sz w:val="22"/>
          <w:rtl/>
        </w:rPr>
        <w:t xml:space="preserve">تسريع أداء جلب البيانات بالتوازي - </w:t>
      </w:r>
      <w:r>
        <w:rPr>
          <w:rFonts w:ascii="Arial" w:hAnsi="Arial"/>
          <w:b w:val="0"/>
          <w:i w:val="0"/>
          <w:color w:val="374151"/>
          <w:sz w:val="22"/>
          <w:rtl/>
        </w:rPr>
        <w:t xml:space="preserve"> تم إعادة تصميم معالجة المهام البرمجية في الخلفية واستبدال الدوران المتعاقب بمهام متوازية باستخدام Task.WhenAll. أدى هذا الإجراء إلى تسريع جلب الإحصائيات والتحليلات بأكثر من 5 أضعاف مع تقليل استهلاك ذاكرة الخادم.</w:t>
      </w:r>
    </w:p>
    <w:p>
      <w:pPr>
        <w:spacing w:before="0" w:after="160" w:line="276" w:lineRule="auto"/>
        <w:jc w:val="right"/>
        <w:bidi/>
      </w:pPr>
      <w:r>
        <w:rPr>
          <w:rFonts w:ascii="Arial" w:hAnsi="Arial"/>
          <w:b/>
          <w:i w:val="0"/>
          <w:color w:val="10B981"/>
          <w:sz w:val="22"/>
          <w:rtl/>
        </w:rPr>
        <w:t xml:space="preserve">✓ </w:t>
      </w:r>
      <w:r>
        <w:rPr>
          <w:rFonts w:ascii="Arial" w:hAnsi="Arial"/>
          <w:b/>
          <w:i w:val="0"/>
          <w:color w:val="0F172A"/>
          <w:sz w:val="22"/>
          <w:rtl/>
        </w:rPr>
        <w:t xml:space="preserve">دمج مؤشرات تحميل ذكية ومحلية - </w:t>
      </w:r>
      <w:r>
        <w:rPr>
          <w:rFonts w:ascii="Arial" w:hAnsi="Arial"/>
          <w:b w:val="0"/>
          <w:i w:val="0"/>
          <w:color w:val="374151"/>
          <w:sz w:val="22"/>
          <w:rtl/>
        </w:rPr>
        <w:t xml:space="preserve"> تم إلغاء شاشات التحميل الكاملة المزعجة التي تسبب إزاحة مفاجئة في بنية الصفحة (Layout Pop). تم دمج مؤشرات تحميل دائرية (Spinners) خفيفة وشفافة داخل كل عنصر ورسم بياني بمفرده، مما يحافظ على ثبات الهيكل البصري عند تحديث الفلتر الزمني.</w:t>
      </w:r>
    </w:p>
    <w:p>
      <w:pPr>
        <w:spacing w:before="0" w:after="160" w:line="276" w:lineRule="auto"/>
        <w:jc w:val="right"/>
        <w:bidi/>
      </w:pPr>
      <w:r>
        <w:rPr>
          <w:rFonts w:ascii="Arial" w:hAnsi="Arial"/>
          <w:b/>
          <w:i w:val="0"/>
          <w:color w:val="10B981"/>
          <w:sz w:val="22"/>
          <w:rtl/>
        </w:rPr>
        <w:t xml:space="preserve">✓ </w:t>
      </w:r>
      <w:r>
        <w:rPr>
          <w:rFonts w:ascii="Arial" w:hAnsi="Arial"/>
          <w:b/>
          <w:i w:val="0"/>
          <w:color w:val="0F172A"/>
          <w:sz w:val="22"/>
          <w:rtl/>
        </w:rPr>
        <w:t xml:space="preserve">المزامنة الفورية للرسوم البيانية - </w:t>
      </w:r>
      <w:r>
        <w:rPr>
          <w:rFonts w:ascii="Arial" w:hAnsi="Arial"/>
          <w:b w:val="0"/>
          <w:i w:val="0"/>
          <w:color w:val="374151"/>
          <w:sz w:val="22"/>
          <w:rtl/>
        </w:rPr>
        <w:t xml:space="preserve"> تم إلغاء فترات التأخير المرئي وتحسين تهيئة المخططات ورسمها مباشرة فور سحب البيانات من السيرفر، لتعرض الرسوم بنجاح وبشكل فوري بمجرد فتح الصفحة وبدء التفاعل معها.</w:t>
      </w:r>
    </w:p>
    <w:p/>
    <w:p>
      <w:pPr>
        <w:spacing w:before="320" w:after="160" w:line="276" w:lineRule="auto"/>
        <w:jc w:val="right"/>
        <w:bidi/>
      </w:pPr>
      <w:r>
        <w:rPr>
          <w:rFonts w:ascii="Arial" w:hAnsi="Arial"/>
          <w:b/>
          <w:i w:val="0"/>
          <w:color w:val="0F172A"/>
          <w:sz w:val="32"/>
          <w:rtl/>
        </w:rPr>
        <w:t>5. دليل التنصيب والتشغيل السريع</w:t>
      </w:r>
    </w:p>
    <w:p>
      <w:pPr>
        <w:spacing w:before="0" w:after="240" w:line="276" w:lineRule="auto"/>
        <w:jc w:val="right"/>
        <w:bidi/>
      </w:pPr>
      <w:r>
        <w:rPr>
          <w:color w:val="10B981"/>
          <w:sz w:val="16"/>
        </w:rPr>
        <w:t>━━━━━━━━━━━━━━━━━━━━━━━━━━━━━━━━━━━━━━━━━━━━━━━━━━</w:t>
      </w:r>
    </w:p>
    <w:p>
      <w:pPr>
        <w:spacing w:before="0" w:after="80" w:line="276" w:lineRule="auto"/>
        <w:jc w:val="right"/>
        <w:bidi/>
      </w:pPr>
      <w:r>
        <w:rPr>
          <w:rFonts w:ascii="Arial" w:hAnsi="Arial"/>
          <w:b/>
          <w:i w:val="0"/>
          <w:color w:val="0F172A"/>
          <w:sz w:val="24"/>
          <w:rtl/>
        </w:rPr>
        <w:t>أولاً: تشغيل خادم الواجهة الخلفية (.NET Backend Web API)</w:t>
      </w:r>
    </w:p>
    <w:p>
      <w:pPr>
        <w:spacing w:before="40" w:after="160" w:line="276" w:lineRule="auto"/>
        <w:ind w:right="288"/>
        <w:jc w:val="right"/>
        <w:bidi/>
      </w:pPr>
      <w:r>
        <w:rPr>
          <w:rFonts w:ascii="Arial" w:hAnsi="Arial"/>
          <w:b w:val="0"/>
          <w:i/>
          <w:color w:val="64748B"/>
          <w:sz w:val="21"/>
          <w:rtl/>
        </w:rPr>
        <w:t>cd "Azure DevOps Integration/AzureDevOpsBackend"</w:t>
        <w:br/>
        <w:t>dotnet restore</w:t>
        <w:br/>
        <w:t>dotnet run --urls "http://localhost:5200"</w:t>
      </w:r>
    </w:p>
    <w:p>
      <w:pPr>
        <w:spacing w:before="0" w:after="80" w:line="276" w:lineRule="auto"/>
        <w:jc w:val="right"/>
        <w:bidi/>
      </w:pPr>
      <w:r>
        <w:rPr>
          <w:rFonts w:ascii="Arial" w:hAnsi="Arial"/>
          <w:b/>
          <w:i w:val="0"/>
          <w:color w:val="0F172A"/>
          <w:sz w:val="24"/>
          <w:rtl/>
        </w:rPr>
        <w:t>ثانياً: تشغيل تطبيق الواجهة الأمامية (Angular Frontend Client)</w:t>
      </w:r>
    </w:p>
    <w:p>
      <w:pPr>
        <w:spacing w:before="40" w:after="240" w:line="276" w:lineRule="auto"/>
        <w:ind w:right="288"/>
        <w:jc w:val="right"/>
        <w:bidi/>
      </w:pPr>
      <w:r>
        <w:rPr>
          <w:rFonts w:ascii="Arial" w:hAnsi="Arial"/>
          <w:b w:val="0"/>
          <w:i/>
          <w:color w:val="64748B"/>
          <w:sz w:val="21"/>
          <w:rtl/>
        </w:rPr>
        <w:t>cd "Azure DevOps Integration/AzureDevOpsFrontend"</w:t>
        <w:br/>
        <w:t>npm install</w:t>
        <w:br/>
        <w:t>npm start</w:t>
      </w:r>
    </w:p>
    <w:sectPr w:rsidR="00FC693F" w:rsidRPr="0006063C" w:rsidSect="00034616">
      <w:headerReference w:type="default" r:id="rId9"/>
      <w:footerReference w:type="default" r:id="rId10"/>
      <w:pgSz w:w="12240" w:h="15840"/>
      <w:pgMar w:top="1584" w:right="1440" w:bottom="15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bidi/>
    </w:pPr>
    <w:r>
      <w:rPr>
        <w:color w:val="64748B"/>
        <w:sz w:val="17"/>
      </w:rPr>
      <w:t>صفحة 1 من 1 | سري وللاستخدام الداخلي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left"/>
      <w:bidi/>
    </w:pPr>
    <w:r>
      <w:rPr>
        <w:color w:val="64748B"/>
        <w:sz w:val="17"/>
      </w:rPr>
      <w:t>بوابة تكامل Azure DevOps - دليل التوثيق الفني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