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552"/>
          <w:sz w:val="36"/>
          <w:szCs w:val="36"/>
        </w:rPr>
        <w:t xml:space="preserve">Ahmed Mohamed Hossam</w:t>
      </w:r>
    </w:p>
    <w:p>
      <w:pPr>
        <w:spacing w:after="7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Lead Cost Control Engineer  ·  Infrastructure Project Controls &amp; Power BI</w:t>
      </w:r>
    </w:p>
    <w:p>
      <w:pPr>
        <w:pBdr>
          <w:bottom w:val="single" w:color="C7CDD4" w:sz="6"/>
        </w:pBd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Riyadh, Saudi Arabia  ·  +966 56 241 2083  ·  </w:t>
      </w:r>
      <w:hyperlink w:history="1" r:id="rIdhjcmwkokymcu30gtfnpqp">
        <w:r>
          <w:rPr>
            <w:rFonts w:ascii="Calibri" w:cs="Calibri" w:eastAsia="Calibri" w:hAnsi="Calibri"/>
            <w:color w:val="1F3552"/>
            <w:sz w:val="19"/>
            <w:szCs w:val="19"/>
          </w:rPr>
          <w:t xml:space="preserve">Ahmed.hossam.z2717@gmail.com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·  </w:t>
      </w:r>
      <w:hyperlink w:history="1" r:id="rIdv7da449xupwflecfedsas">
        <w:r>
          <w:rPr>
            <w:rFonts w:ascii="Calibri" w:cs="Calibri" w:eastAsia="Calibri" w:hAnsi="Calibri"/>
            <w:color w:val="1F3552"/>
            <w:sz w:val="19"/>
            <w:szCs w:val="19"/>
          </w:rPr>
          <w:t xml:space="preserve">LinkedIn</w:t>
        </w:r>
      </w:hyperlink>
    </w:p>
    <w:p>
      <w:pPr>
        <w:pBdr>
          <w:bottom w:val="single" w:color="C7CDD4" w:sz="6"/>
        </w:pBdr>
        <w:spacing w:after="90" w:before="240"/>
      </w:pPr>
      <w:r>
        <w:rPr>
          <w:rFonts w:ascii="Calibri" w:cs="Calibri" w:eastAsia="Calibri" w:hAnsi="Calibri"/>
          <w:b/>
          <w:bCs/>
          <w:color w:val="1F3552"/>
          <w:spacing w:val="20"/>
          <w:sz w:val="21"/>
          <w:szCs w:val="21"/>
        </w:rPr>
        <w:t xml:space="preserve">PROFILE</w:t>
      </w:r>
    </w:p>
    <w:p>
      <w:pPr>
        <w:spacing w:after="60" w:before="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Cost control leader with over ten years on major infrastructure programmes — highways, ports and breakwaters, wastewater treatment plants and pump stations — across Saudi Arabia and Egypt. Currently leading cost control on the Second Ring Road Project in Riyadh, a multi-hundred-million SAR contract spanning seven construction disciplines.</w:t>
      </w:r>
    </w:p>
    <w:p>
      <w:pPr>
        <w:spacing w:after="60" w:before="7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Alongside budgeting, estimating and Earned Value Management, I design and build the reporting systems themselves — end-to-end Power BI platforms spanning data model, DAX measure layer and executive dashboards, tracking delivery on a daily cycle rather than a monthly close. MBA in Managerial Accounting.</w:t>
      </w:r>
    </w:p>
    <w:p>
      <w:pPr>
        <w:pBdr>
          <w:bottom w:val="single" w:color="C7CDD4" w:sz="6"/>
        </w:pBdr>
        <w:spacing w:after="90" w:before="240"/>
      </w:pPr>
      <w:r>
        <w:rPr>
          <w:rFonts w:ascii="Calibri" w:cs="Calibri" w:eastAsia="Calibri" w:hAnsi="Calibri"/>
          <w:b/>
          <w:bCs/>
          <w:color w:val="1F3552"/>
          <w:spacing w:val="20"/>
          <w:sz w:val="21"/>
          <w:szCs w:val="21"/>
        </w:rPr>
        <w:t xml:space="preserve">SELECTED CAPABILITY — DAILY PERFORMANCE SYSTEM (POWER BI)</w:t>
      </w:r>
    </w:p>
    <w:p>
      <w:pPr>
        <w:spacing w:after="70" w:before="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 complete, self-refreshing project performance platform, built end to end: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Consolidates BOQ, budget, commitments, actual cost from SAP/Oracle, progress, manpower and subcontractor data into a governed star-schema model.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Live EVM engine in DAX — PV, EV, AC, SPI, CPI, EAC, ETC and TCPI at project, discipline and cost-code level.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Discipline-level S-curves, cash-flow curves and cost-to-complete analysis, drilling from Board view down to cost code.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Chairman and Steering Committee packs framed around status and decisions required, not raw data.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Cost and progress deviations surface within 24 hours instead of at month-end, while corrective action is still cheap.</w:t>
      </w:r>
    </w:p>
    <w:p>
      <w:pPr>
        <w:pBdr>
          <w:bottom w:val="single" w:color="C7CDD4" w:sz="6"/>
        </w:pBdr>
        <w:spacing w:after="90" w:before="240"/>
      </w:pPr>
      <w:r>
        <w:rPr>
          <w:rFonts w:ascii="Calibri" w:cs="Calibri" w:eastAsia="Calibri" w:hAnsi="Calibri"/>
          <w:b/>
          <w:bCs/>
          <w:color w:val="1F3552"/>
          <w:spacing w:val="20"/>
          <w:sz w:val="21"/>
          <w:szCs w:val="21"/>
        </w:rPr>
        <w:t xml:space="preserve">EXPERIENCE</w:t>
      </w:r>
    </w:p>
    <w:p>
      <w:pPr>
        <w:keepNext/>
        <w:keepLines/>
        <w:tabs>
          <w:tab w:val="right" w:pos="10100"/>
        </w:tabs>
        <w:spacing w:after="0" w:before="170"/>
      </w:pPr>
      <w:r>
        <w:rPr>
          <w:rFonts w:ascii="Calibri" w:cs="Calibri" w:eastAsia="Calibri" w:hAnsi="Calibri"/>
          <w:b/>
          <w:bCs/>
          <w:color w:val="1F3552"/>
          <w:sz w:val="21"/>
          <w:szCs w:val="21"/>
        </w:rPr>
        <w:t xml:space="preserve">Lead Cost Control Engineer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May 2025 – Present</w:t>
      </w:r>
    </w:p>
    <w:p>
      <w:pPr>
        <w:keepNext/>
        <w:keepLines/>
        <w:spacing w:after="7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AL-AYUNI Investment &amp; Contracting Co.  ·  Second Ring Road Project, Riyadh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 the cost control function on a multi-hundred-million SAR highway programme across seven disciplines: original budget issuance, baseline control, monthly cost reporting and escalation of critical commercial issues.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built the project's Power BI executive dashboard suite, including cumulative plan-versus-actual S-curves modelled in DAX through completion in September 2027.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 Chairman-level and Steering Committee reporting packs structured around status and decision points.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 cash flow modelling, cost and revenue forecasting, and EAC and cost-to-complete analysis.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Prepare and review cost analyses supporting variation orders, claims and price escalation submissions.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Act as Tender Manager and Estimator on package tenders, including the SSRR3 Landscape and Beautification package — dry-cost BOQ estimating on Riyadh market rates across hardscape, softscape and HDPE irrigation.</w:t>
      </w:r>
    </w:p>
    <w:p>
      <w:pPr>
        <w:keepNext/>
        <w:keepLines/>
        <w:tabs>
          <w:tab w:val="right" w:pos="10100"/>
        </w:tabs>
        <w:spacing w:after="0" w:before="170"/>
      </w:pPr>
      <w:r>
        <w:rPr>
          <w:rFonts w:ascii="Calibri" w:cs="Calibri" w:eastAsia="Calibri" w:hAnsi="Calibri"/>
          <w:b/>
          <w:bCs/>
          <w:color w:val="1F3552"/>
          <w:sz w:val="21"/>
          <w:szCs w:val="21"/>
        </w:rPr>
        <w:t xml:space="preserve">Senior Cost Control Engineer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Jan 2024 – Apr 2025</w:t>
      </w:r>
    </w:p>
    <w:p>
      <w:pPr>
        <w:keepNext/>
        <w:keepLines/>
        <w:spacing w:after="7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Saudi Binladin Group  ·  Haram Expansion Project, Head Office, Jeddah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Rebuilt weekly and monthly reporting in Power BI, automating consolidation and removing manual report assembly.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Monitored and enhanced the corporate Manpower Application, improving the data integrity behind productivity analysis.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Produced monthly productivity reporting benchmarking actual against budgeted labour output by trade.</w:t>
      </w:r>
    </w:p>
    <w:p>
      <w:pPr>
        <w:keepNext/>
        <w:keepLines/>
        <w:tabs>
          <w:tab w:val="right" w:pos="10100"/>
        </w:tabs>
        <w:spacing w:after="0" w:before="170"/>
      </w:pPr>
      <w:r>
        <w:rPr>
          <w:rFonts w:ascii="Calibri" w:cs="Calibri" w:eastAsia="Calibri" w:hAnsi="Calibri"/>
          <w:b/>
          <w:bCs/>
          <w:color w:val="1F3552"/>
          <w:sz w:val="21"/>
          <w:szCs w:val="21"/>
        </w:rPr>
        <w:t xml:space="preserve">Senior Cost Control Engineer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Nov 2022 – Dec 2023</w:t>
      </w:r>
    </w:p>
    <w:p>
      <w:pPr>
        <w:keepNext/>
        <w:keepLines/>
        <w:spacing w:after="7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Hassan Allam Holding  ·  Marine and water infrastructure portfolio, Egypt</w:t>
      </w:r>
    </w:p>
    <w:p>
      <w:pPr>
        <w:spacing w:after="70" w:before="0" w:line="264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Damietta Port Western Breakwater · Sherbeen WWTP, 22,500 m³/day · Maghagha–Minia Wastewater, 20,000–40,000 m³/day, including six pump stations, 17,617 m of force main and 52,052 m of gravity network.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cost control across a multi-project portfolio spanning marine works, treatment plants and buried networks.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Issued original budgets and monthly cost reports; forecast cost and revenue trends and flagged margin erosion early.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Modelled cash flow and prepared cost analyses supporting variation orders and claims.</w:t>
      </w:r>
    </w:p>
    <w:p>
      <w:pPr>
        <w:keepNext/>
        <w:keepLines/>
        <w:tabs>
          <w:tab w:val="right" w:pos="10100"/>
        </w:tabs>
        <w:spacing w:after="0" w:before="170"/>
      </w:pPr>
      <w:r>
        <w:rPr>
          <w:rFonts w:ascii="Calibri" w:cs="Calibri" w:eastAsia="Calibri" w:hAnsi="Calibri"/>
          <w:b/>
          <w:bCs/>
          <w:color w:val="1F3552"/>
          <w:sz w:val="21"/>
          <w:szCs w:val="21"/>
        </w:rPr>
        <w:t xml:space="preserve">Senior Cost Control Engineer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Apr 2021 – Oct 2022</w:t>
      </w:r>
    </w:p>
    <w:p>
      <w:pPr>
        <w:keepNext/>
        <w:keepLines/>
        <w:spacing w:after="7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Orascom Construction Ltd  ·  R5 District, New Administrative Capital, Egypt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Owned budget preparation, estimating and forecasting for a flagship district of Egypt's New Administrative Capital.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detailed cost-code monitoring and drove the analysis that protected project margin.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Negotiated change orders and modified rates with the Consultant; issued monthly invoices for completed work.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Produced equipment cost reporting by plant type, reconciled against the overall budget.</w:t>
      </w:r>
    </w:p>
    <w:p>
      <w:pPr>
        <w:keepNext/>
        <w:keepLines/>
        <w:tabs>
          <w:tab w:val="right" w:pos="10100"/>
        </w:tabs>
        <w:spacing w:after="0" w:before="170"/>
      </w:pPr>
      <w:r>
        <w:rPr>
          <w:rFonts w:ascii="Calibri" w:cs="Calibri" w:eastAsia="Calibri" w:hAnsi="Calibri"/>
          <w:b/>
          <w:bCs/>
          <w:color w:val="1F3552"/>
          <w:sz w:val="21"/>
          <w:szCs w:val="21"/>
        </w:rPr>
        <w:t xml:space="preserve">Cost Control Engineer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Aug 2017 – Apr 2021</w:t>
      </w:r>
    </w:p>
    <w:p>
      <w:pPr>
        <w:keepNext/>
        <w:keepLines/>
        <w:spacing w:after="7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Orascom Construction Ltd  ·  New Capital and Mansoura residential compounds, Egypt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cost control across seven concurrent residential projects: budget control, actual cost recording, forecasting and monthly reporting.</w:t>
      </w:r>
    </w:p>
    <w:p>
      <w:pPr>
        <w:keepNext/>
        <w:keepLines/>
        <w:tabs>
          <w:tab w:val="right" w:pos="10100"/>
        </w:tabs>
        <w:spacing w:after="0" w:before="170"/>
      </w:pPr>
      <w:r>
        <w:rPr>
          <w:rFonts w:ascii="Calibri" w:cs="Calibri" w:eastAsia="Calibri" w:hAnsi="Calibri"/>
          <w:b/>
          <w:bCs/>
          <w:color w:val="1F3552"/>
          <w:sz w:val="21"/>
          <w:szCs w:val="21"/>
        </w:rPr>
        <w:t xml:space="preserve">Site Engineer &amp; Project Coordinator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	Aug 2016 – Jul 2017</w:t>
      </w:r>
    </w:p>
    <w:p>
      <w:pPr>
        <w:keepNext/>
        <w:keepLines/>
        <w:spacing w:after="7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Cairo for Construction and Supplies  ·  Egypt</w:t>
      </w:r>
    </w:p>
    <w:p>
      <w:pPr>
        <w:pStyle w:val="ListParagraph"/>
        <w:keepLines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Site execution, progress measurement and coordination.</w:t>
      </w:r>
    </w:p>
    <w:p>
      <w:pPr>
        <w:pBdr>
          <w:bottom w:val="single" w:color="C7CDD4" w:sz="6"/>
        </w:pBdr>
        <w:spacing w:after="90" w:before="240"/>
      </w:pPr>
      <w:r>
        <w:rPr>
          <w:rFonts w:ascii="Calibri" w:cs="Calibri" w:eastAsia="Calibri" w:hAnsi="Calibri"/>
          <w:b/>
          <w:bCs/>
          <w:color w:val="1F3552"/>
          <w:spacing w:val="20"/>
          <w:sz w:val="21"/>
          <w:szCs w:val="21"/>
        </w:rPr>
        <w:t xml:space="preserve">SKILLS</w:t>
      </w:r>
    </w:p>
    <w:p>
      <w:pPr>
        <w:spacing w:after="50" w:line="264"/>
      </w:pPr>
      <w:r>
        <w:rPr>
          <w:rFonts w:ascii="Calibri" w:cs="Calibri" w:eastAsia="Calibri" w:hAnsi="Calibri"/>
          <w:b/>
          <w:bCs/>
          <w:color w:val="1F3552"/>
          <w:sz w:val="20"/>
          <w:szCs w:val="20"/>
        </w:rPr>
        <w:t xml:space="preserve">Project controls 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Earned Value Management · budgeting and baseline control · cost forecasting and EAC · BOQ estimating and tendering · cash flow and S-curves · variation orders, claims and price escalation · productivity analysis · risk and Monte Carlo simulation</w:t>
      </w:r>
    </w:p>
    <w:p>
      <w:pPr>
        <w:spacing w:after="50" w:line="264"/>
      </w:pPr>
      <w:r>
        <w:rPr>
          <w:rFonts w:ascii="Calibri" w:cs="Calibri" w:eastAsia="Calibri" w:hAnsi="Calibri"/>
          <w:b/>
          <w:bCs/>
          <w:color w:val="1F3552"/>
          <w:sz w:val="20"/>
          <w:szCs w:val="20"/>
        </w:rPr>
        <w:t xml:space="preserve">Power BI 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end-to-end dashboard architecture · DAX and time intelligence · Power Query and ETL · star-schema data modelling · automated daily refresh · executive and board-level reporting · custom HTML and SVG visuals · row-level security · Power BI Service deployment</w:t>
      </w:r>
    </w:p>
    <w:p>
      <w:pPr>
        <w:spacing w:after="50" w:line="264"/>
      </w:pPr>
      <w:r>
        <w:rPr>
          <w:rFonts w:ascii="Calibri" w:cs="Calibri" w:eastAsia="Calibri" w:hAnsi="Calibri"/>
          <w:b/>
          <w:bCs/>
          <w:color w:val="1F3552"/>
          <w:sz w:val="20"/>
          <w:szCs w:val="20"/>
        </w:rPr>
        <w:t xml:space="preserve">Sectors 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highways and ring roads · bridges and structures · marine works and breakwaters · water and wastewater treatment · pump stations and networks · landscape packages · large urban districts</w:t>
      </w:r>
    </w:p>
    <w:p>
      <w:pPr>
        <w:spacing w:after="50" w:line="264"/>
      </w:pPr>
      <w:r>
        <w:rPr>
          <w:rFonts w:ascii="Calibri" w:cs="Calibri" w:eastAsia="Calibri" w:hAnsi="Calibri"/>
          <w:b/>
          <w:bCs/>
          <w:color w:val="1F3552"/>
          <w:sz w:val="20"/>
          <w:szCs w:val="20"/>
        </w:rPr>
        <w:t xml:space="preserve">Systems 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Power BI · Oracle · SAP · Primavera P6 · MS Project · advanced Excel · SPSS</w:t>
      </w:r>
    </w:p>
    <w:p>
      <w:pPr>
        <w:pBdr>
          <w:bottom w:val="single" w:color="C7CDD4" w:sz="6"/>
        </w:pBdr>
        <w:spacing w:after="90" w:before="240"/>
      </w:pPr>
      <w:r>
        <w:rPr>
          <w:rFonts w:ascii="Calibri" w:cs="Calibri" w:eastAsia="Calibri" w:hAnsi="Calibri"/>
          <w:b/>
          <w:bCs/>
          <w:color w:val="1F3552"/>
          <w:spacing w:val="20"/>
          <w:sz w:val="21"/>
          <w:szCs w:val="21"/>
        </w:rPr>
        <w:t xml:space="preserve">EDUCATION &amp; CERTIFICATION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552"/>
          <w:sz w:val="20"/>
          <w:szCs w:val="20"/>
        </w:rPr>
        <w:t xml:space="preserve">MBA, Managerial Accounting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 Arab Academy for Science, Technology &amp; Maritime Transport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552"/>
          <w:sz w:val="20"/>
          <w:szCs w:val="20"/>
        </w:rPr>
        <w:t xml:space="preserve">B.Sc. Civil Engineering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 Higher Institute of Engineering, El Shorouk Academy, 2016</w:t>
      </w:r>
    </w:p>
    <w:p>
      <w:pPr>
        <w:spacing w:after="60" w:before="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Construction Cost Estimating and Cost Control, Columbia University (Coursera) · Build Dashboards in Power BI · Data Analyst in Power BI · Financial Analysis for Startups, Yonsei University · Profit Analysis using Economic Value Added</w:t>
      </w:r>
    </w:p>
    <w:p>
      <w:pPr>
        <w:pBdr>
          <w:bottom w:val="single" w:color="C7CDD4" w:sz="6"/>
        </w:pBdr>
        <w:spacing w:after="90" w:before="240"/>
      </w:pPr>
      <w:r>
        <w:rPr>
          <w:rFonts w:ascii="Calibri" w:cs="Calibri" w:eastAsia="Calibri" w:hAnsi="Calibri"/>
          <w:b/>
          <w:bCs/>
          <w:color w:val="1F3552"/>
          <w:spacing w:val="20"/>
          <w:sz w:val="21"/>
          <w:szCs w:val="21"/>
        </w:rPr>
        <w:t xml:space="preserve">LANGUAGES</w:t>
      </w:r>
    </w:p>
    <w:p>
      <w:pPr>
        <w:spacing w:after="60" w:before="0" w:line="264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Arabic (native) · English (professional working proficiency, written and spoken)</w:t>
      </w:r>
    </w:p>
    <w:sectPr>
      <w:pgSz w:w="12240" w:h="15840" w:orient="portrait"/>
      <w:pgMar w:top="9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jcmwkokymcu30gtfnpqp" Type="http://schemas.openxmlformats.org/officeDocument/2006/relationships/hyperlink" Target="mailto:Ahmed.hossam.z2717@gmail.com" TargetMode="External"/><Relationship Id="rIdv7da449xupwflecfedsas" Type="http://schemas.openxmlformats.org/officeDocument/2006/relationships/hyperlink" Target="https://www.linkedin.com/in/ahmed-hossam-mba-65708912a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2026-07-13T14:47:53.452Z</dcterms:created>
  <dcterms:modified xsi:type="dcterms:W3CDTF">2026-07-13T14:47:53.452Z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