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HEKAX</w:t>
      </w:r>
    </w:p>
    <w:p>
      <w:pPr>
        <w:spacing w:after="400"/>
      </w:pPr>
      <w:r>
        <w:rPr>
          <w:color w:val="666666"/>
          <w:sz w:val="24"/>
          <w:szCs w:val="24"/>
        </w:rPr>
        <w:t xml:space="preserve">Architecture Overview</w:t>
      </w:r>
    </w:p>
    <w:p>
      <w:pPr>
        <w:spacing w:after="300"/>
      </w:pPr>
      <w:r>
        <w:t xml:space="preserve">This document describes the overall structure of the HEKAX platform across products, focusing on the relationships between communication worlds, decision layers, intelligence layers, and the event mesh.</w:t>
      </w:r>
    </w:p>
    <w:p>
      <w:pPr>
        <w:pStyle w:val="Heading1"/>
      </w:pPr>
      <w:r>
        <w:t xml:space="preserve">Platform Layers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Layer</w:t>
      </w:r>
      <w:r>
        <w:t xml:space="preserve"> — Web application and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Worlds Layer</w:t>
      </w:r>
      <w:r>
        <w:t xml:space="preserve"> — Calls World, Messages World, Live Control World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Decision Layer</w:t>
      </w:r>
      <w:r>
        <w:t xml:space="preserve"> — Codex decision engine and policy chains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Intelligence Layer</w:t>
      </w:r>
      <w:r>
        <w:t xml:space="preserve"> — Voice models, SLMs, external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Mesh</w:t>
      </w:r>
      <w:r>
        <w:t xml:space="preserve"> — Stream-based event transport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and Storage</w:t>
      </w:r>
      <w:r>
        <w:t xml:space="preserve"> — Relational database, object storage, caches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Observability</w:t>
      </w:r>
      <w:r>
        <w:t xml:space="preserve"> — Metrics, logs, traces, dashboards</w:t>
      </w:r>
    </w:p>
    <w:p>
      <w:pPr>
        <w:pStyle w:val="Heading1"/>
      </w:pPr>
      <w:r>
        <w:t xml:space="preserve">Multi-World Model</w:t>
      </w:r>
    </w:p>
    <w:p>
      <w:pPr>
        <w:spacing w:after="100"/>
      </w:pPr>
      <w:r>
        <w:t xml:space="preserve">The multi-world model separates concerns while maintaining a unified platform:</w:t>
      </w:r>
    </w:p>
    <w:p>
      <w:pPr>
        <w:spacing w:after="50"/>
      </w:pPr>
      <w:r>
        <w:rPr>
          <w:b/>
          <w:bCs/>
        </w:rPr>
        <w:t xml:space="preserve">Calls World</w:t>
      </w:r>
      <w:r>
        <w:t xml:space="preserve"> focuses on telephony-specific concerns.</w:t>
      </w:r>
    </w:p>
    <w:p>
      <w:pPr>
        <w:spacing w:after="50"/>
      </w:pPr>
      <w:r>
        <w:rPr>
          <w:b/>
          <w:bCs/>
        </w:rPr>
        <w:t xml:space="preserve">Messages World</w:t>
      </w:r>
      <w:r>
        <w:t xml:space="preserve"> focuses on multi-channel text-based communication.</w:t>
      </w:r>
    </w:p>
    <w:p>
      <w:pPr>
        <w:spacing w:after="200"/>
      </w:pPr>
      <w:r>
        <w:rPr>
          <w:b/>
          <w:bCs/>
        </w:rPr>
        <w:t xml:space="preserve">Live Control World</w:t>
      </w:r>
      <w:r>
        <w:t xml:space="preserve"> presents an operational, real-time view for managers and operators.</w:t>
      </w:r>
    </w:p>
    <w:p>
      <w:pPr>
        <w:spacing w:after="300"/>
      </w:pPr>
      <w:r>
        <w:t xml:space="preserve">Each world publishes and consumes events on the event mesh and relies on Codex for consistent decision logic.</w:t>
      </w:r>
    </w:p>
    <w:p>
      <w:pPr>
        <w:pStyle w:val="Heading1"/>
      </w:pPr>
      <w:r>
        <w:t xml:space="preserve">Codex Decision Engine</w:t>
      </w:r>
    </w:p>
    <w:p>
      <w:pPr>
        <w:spacing w:after="100"/>
      </w:pPr>
      <w:r>
        <w:t xml:space="preserve">Codex is the central decision component responsible for:</w:t>
      </w:r>
    </w:p>
    <w:p>
      <w:pPr>
        <w:pStyle w:val="ListParagraph"/>
        <w:numPr>
          <w:ilvl w:val="0"/>
          <w:numId w:val="3"/>
        </w:numPr>
      </w:pPr>
      <w:r>
        <w:t xml:space="preserve">Normalizing inputs into structured events</w:t>
      </w:r>
    </w:p>
    <w:p>
      <w:pPr>
        <w:pStyle w:val="ListParagraph"/>
        <w:numPr>
          <w:ilvl w:val="0"/>
          <w:numId w:val="3"/>
        </w:numPr>
      </w:pPr>
      <w:r>
        <w:t xml:space="preserve">Running them through policy chains</w:t>
      </w:r>
    </w:p>
    <w:p>
      <w:pPr>
        <w:pStyle w:val="ListParagraph"/>
        <w:numPr>
          <w:ilvl w:val="0"/>
          <w:numId w:val="3"/>
        </w:numPr>
      </w:pPr>
      <w:r>
        <w:t xml:space="preserve">Producing decisions that include priority, labels, and actions</w:t>
      </w:r>
    </w:p>
    <w:p>
      <w:pPr>
        <w:pStyle w:val="ListParagraph"/>
        <w:numPr>
          <w:ilvl w:val="0"/>
          <w:numId w:val="3"/>
        </w:numPr>
      </w:pPr>
      <w:r>
        <w:t xml:space="preserve">Recording outcomes for later analysis and auditing</w:t>
      </w:r>
    </w:p>
    <w:p>
      <w:pPr>
        <w:spacing w:after="300"/>
      </w:pPr>
      <w:r>
        <w:t xml:space="preserve">These decisions drive Smart Inbox behavior, Cockpit metrics, automation triggers, and SLA handling.</w:t>
      </w:r>
    </w:p>
    <w:p>
      <w:pPr>
        <w:pStyle w:val="Heading1"/>
      </w:pPr>
      <w:r>
        <w:t xml:space="preserve">Intelligence Integration</w:t>
      </w:r>
    </w:p>
    <w:p>
      <w:pPr>
        <w:spacing w:after="300"/>
      </w:pPr>
      <w:r>
        <w:t xml:space="preserve">The intelligence layer connects voice and language models to the rest of the system through a single orchestration surface. Application code interacts with this layer using clear contracts rather than direct model calls.</w:t>
      </w:r>
    </w:p>
    <w:p>
      <w:pPr>
        <w:pStyle w:val="Heading1"/>
      </w:pPr>
      <w:r>
        <w:t xml:space="preserve">Event Mesh</w:t>
      </w:r>
    </w:p>
    <w:p>
      <w:pPr>
        <w:spacing w:after="100"/>
      </w:pPr>
      <w:r>
        <w:t xml:space="preserve">The event mesh decouples producers and consumers, allowing the platform to evolve and scale without tightly coupling components. It is central to:</w:t>
      </w:r>
    </w:p>
    <w:p>
      <w:pPr>
        <w:pStyle w:val="ListParagraph"/>
        <w:numPr>
          <w:ilvl w:val="0"/>
          <w:numId w:val="4"/>
        </w:numPr>
      </w:pPr>
      <w:r>
        <w:t xml:space="preserve">Real-time behavior</w:t>
      </w:r>
    </w:p>
    <w:p>
      <w:pPr>
        <w:pStyle w:val="ListParagraph"/>
        <w:numPr>
          <w:ilvl w:val="0"/>
          <w:numId w:val="4"/>
        </w:numPr>
      </w:pPr>
      <w:r>
        <w:t xml:space="preserve">Reliability under load</w:t>
      </w:r>
    </w:p>
    <w:p>
      <w:pPr>
        <w:pStyle w:val="ListParagraph"/>
        <w:numPr>
          <w:ilvl w:val="0"/>
          <w:numId w:val="4"/>
        </w:numPr>
      </w:pPr>
      <w:r>
        <w:t xml:space="preserve">Horizontal scaling of workers</w:t>
      </w:r>
    </w:p>
    <w:p>
      <w:pPr>
        <w:pStyle w:val="ListParagraph"/>
        <w:numPr>
          <w:ilvl w:val="0"/>
          <w:numId w:val="4"/>
        </w:numPr>
        <w:spacing w:after="300"/>
      </w:pPr>
      <w:r>
        <w:t xml:space="preserve">Operational transparency</w:t>
      </w:r>
    </w:p>
    <w:p>
      <w:pPr>
        <w:pStyle w:val="Heading1"/>
      </w:pPr>
      <w:r>
        <w:t xml:space="preserve">Design Focus</w:t>
      </w:r>
    </w:p>
    <w:p>
      <w:pPr>
        <w:spacing w:after="100"/>
      </w:pPr>
      <w:r>
        <w:t xml:space="preserve">The HEKAX architecture aims to:</w:t>
      </w:r>
    </w:p>
    <w:p>
      <w:pPr>
        <w:pStyle w:val="ListParagraph"/>
        <w:numPr>
          <w:ilvl w:val="0"/>
          <w:numId w:val="5"/>
        </w:numPr>
      </w:pPr>
      <w:r>
        <w:t xml:space="preserve">Keep boundaries explicit</w:t>
      </w:r>
    </w:p>
    <w:p>
      <w:pPr>
        <w:pStyle w:val="ListParagraph"/>
        <w:numPr>
          <w:ilvl w:val="0"/>
          <w:numId w:val="5"/>
        </w:numPr>
      </w:pPr>
      <w:r>
        <w:t xml:space="preserve">Maintain tenant safety</w:t>
      </w:r>
    </w:p>
    <w:p>
      <w:pPr>
        <w:pStyle w:val="ListParagraph"/>
        <w:numPr>
          <w:ilvl w:val="0"/>
          <w:numId w:val="5"/>
        </w:numPr>
      </w:pPr>
      <w:r>
        <w:t xml:space="preserve">Support incremental feature delivery</w:t>
      </w:r>
    </w:p>
    <w:p>
      <w:pPr>
        <w:pStyle w:val="ListParagraph"/>
        <w:numPr>
          <w:ilvl w:val="0"/>
          <w:numId w:val="5"/>
        </w:numPr>
      </w:pPr>
      <w:r>
        <w:t xml:space="preserve">Enable clear reasoning about data flow and decisions</w:t>
      </w:r>
    </w:p>
    <w:p>
      <w:pPr>
        <w:pStyle w:val="ListParagraph"/>
        <w:numPr>
          <w:ilvl w:val="0"/>
          <w:numId w:val="5"/>
        </w:numPr>
        <w:spacing w:after="300"/>
      </w:pPr>
      <w:r>
        <w:t xml:space="preserve">Be understandable to both engineers and non-technical stakeholders</w:t>
      </w:r>
    </w:p>
    <w:p>
      <w:pPr>
        <w:spacing w:after="400"/>
      </w:pPr>
      <w:r>
        <w:rPr>
          <w:i/>
          <w:iCs/>
        </w:rPr>
        <w:t xml:space="preserve">Further diagrams, sequence flows, and service-level breakdowns can be added as the platform evolves.</w:t>
      </w:r>
    </w:p>
    <w:p>
      <w:pPr>
        <w:spacing w:before="400"/>
      </w:pPr>
      <w:r>
        <w:rPr>
          <w:color w:val="999999"/>
          <w:sz w:val="18"/>
          <w:szCs w:val="18"/>
        </w:rPr>
        <w:t xml:space="preserve">Proprietary and Confidential. HEKAX LLC. All rights 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left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2025-12-11T16:15:43.762Z</dcterms:created>
  <dcterms:modified xsi:type="dcterms:W3CDTF">2025-12-11T16:15:43.762Z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