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HEKAX Architecture</w:t>
      </w:r>
    </w:p>
    <w:p>
      <w:pPr>
        <w:spacing w:after="400"/>
      </w:pPr>
      <w:r>
        <w:rPr>
          <w:color w:val="666666"/>
          <w:sz w:val="24"/>
          <w:szCs w:val="24"/>
        </w:rPr>
        <w:t xml:space="preserve">System Design and Orchestration Documentation</w:t>
      </w:r>
    </w:p>
    <w:p>
      <w:pPr>
        <w:spacing w:after="300"/>
      </w:pPr>
      <w:r>
        <w:t xml:space="preserve">This repository documents the system architecture, orchestration layers, and design patterns used across all HEKAX products.</w:t>
      </w:r>
    </w:p>
    <w:p>
      <w:pPr>
        <w:pStyle w:val="Heading1"/>
      </w:pPr>
      <w:r>
        <w:t xml:space="preserve">Architecture Domains</w:t>
      </w:r>
    </w:p>
    <w:p>
      <w:pPr>
        <w:pStyle w:val="Heading2"/>
      </w:pPr>
      <w:r>
        <w:t xml:space="preserve">1. Multi-World Operating Model</w:t>
      </w:r>
    </w:p>
    <w:p>
      <w:pPr>
        <w:spacing w:after="150"/>
      </w:pPr>
      <w:r>
        <w:t xml:space="preserve">Defines the Calls, Messages, and Live Control worlds and their interactions.</w:t>
      </w:r>
    </w:p>
    <w:p>
      <w:pPr>
        <w:pStyle w:val="Heading2"/>
      </w:pPr>
      <w:r>
        <w:t xml:space="preserve">2. Codex Decision Engine</w:t>
      </w:r>
    </w:p>
    <w:p>
      <w:pPr>
        <w:spacing w:after="150"/>
      </w:pPr>
      <w:r>
        <w:t xml:space="preserve">Outlines how events are evaluated through sequential policies, producing structured decisions.</w:t>
      </w:r>
    </w:p>
    <w:p>
      <w:pPr>
        <w:pStyle w:val="Heading2"/>
      </w:pPr>
      <w:r>
        <w:t xml:space="preserve">3. AI Layer</w:t>
      </w:r>
    </w:p>
    <w:p>
      <w:pPr>
        <w:spacing w:after="150"/>
      </w:pPr>
      <w:r>
        <w:t xml:space="preserve">Model routing strategy across SLMs and external LLMs, including cost and latency considerations.</w:t>
      </w:r>
    </w:p>
    <w:p>
      <w:pPr>
        <w:pStyle w:val="Heading2"/>
      </w:pPr>
      <w:r>
        <w:t xml:space="preserve">4. Event Mesh</w:t>
      </w:r>
    </w:p>
    <w:p>
      <w:pPr>
        <w:spacing w:after="150"/>
      </w:pPr>
      <w:r>
        <w:t xml:space="preserve">Redis Streams-based event flow for real-time processing.</w:t>
      </w:r>
    </w:p>
    <w:p>
      <w:pPr>
        <w:pStyle w:val="Heading2"/>
      </w:pPr>
      <w:r>
        <w:t xml:space="preserve">5. Telephony Architecture</w:t>
      </w:r>
    </w:p>
    <w:p>
      <w:pPr>
        <w:spacing w:after="150"/>
      </w:pPr>
      <w:r>
        <w:t xml:space="preserve">Covers signaling, sandbox mode, Twilio modes, and HEKAX-managed telephony.</w:t>
      </w:r>
    </w:p>
    <w:p>
      <w:pPr>
        <w:pStyle w:val="Heading2"/>
      </w:pPr>
      <w:r>
        <w:t xml:space="preserve">6. State Machine Service</w:t>
      </w:r>
    </w:p>
    <w:p>
      <w:pPr>
        <w:spacing w:after="150"/>
      </w:pPr>
      <w:r>
        <w:t xml:space="preserve">Workflow orchestration for leads, conversations, and system actors.</w:t>
      </w:r>
    </w:p>
    <w:p>
      <w:pPr>
        <w:pStyle w:val="Heading2"/>
      </w:pPr>
      <w:r>
        <w:t xml:space="preserve">7. Trial and Upgrade System</w:t>
      </w:r>
    </w:p>
    <w:p>
      <w:pPr>
        <w:spacing w:after="150"/>
      </w:pPr>
      <w:r>
        <w:t xml:space="preserve">Enterprise SaaS onboarding, usage limits, and plan enforcement.</w:t>
      </w:r>
    </w:p>
    <w:p>
      <w:pPr>
        <w:pStyle w:val="Heading2"/>
      </w:pPr>
      <w:r>
        <w:t xml:space="preserve">8. Executive Cockpit</w:t>
      </w:r>
    </w:p>
    <w:p>
      <w:pPr>
        <w:spacing w:after="300"/>
      </w:pPr>
      <w:r>
        <w:t xml:space="preserve">Profile-aware business intelligence dashboard.</w:t>
      </w:r>
    </w:p>
    <w:p>
      <w:pPr>
        <w:pStyle w:val="Heading1"/>
      </w:pPr>
      <w:r>
        <w:t xml:space="preserve">Design Philosophy</w:t>
      </w:r>
    </w:p>
    <w:p>
      <w:pPr>
        <w:pStyle w:val="ListParagraph"/>
        <w:numPr>
          <w:ilvl w:val="0"/>
          <w:numId w:val="2"/>
        </w:numPr>
      </w:pPr>
      <w:r>
        <w:t xml:space="preserve">Clear separation of concerns</w:t>
      </w:r>
    </w:p>
    <w:p>
      <w:pPr>
        <w:pStyle w:val="ListParagraph"/>
        <w:numPr>
          <w:ilvl w:val="0"/>
          <w:numId w:val="2"/>
        </w:numPr>
      </w:pPr>
      <w:r>
        <w:t xml:space="preserve">Multi-tenant safety</w:t>
      </w:r>
    </w:p>
    <w:p>
      <w:pPr>
        <w:pStyle w:val="ListParagraph"/>
        <w:numPr>
          <w:ilvl w:val="0"/>
          <w:numId w:val="2"/>
        </w:numPr>
      </w:pPr>
      <w:r>
        <w:t xml:space="preserve">Modular intelligence layers</w:t>
      </w:r>
    </w:p>
    <w:p>
      <w:pPr>
        <w:pStyle w:val="ListParagraph"/>
        <w:numPr>
          <w:ilvl w:val="0"/>
          <w:numId w:val="2"/>
        </w:numPr>
      </w:pPr>
      <w:r>
        <w:t xml:space="preserve">Predictable event flow</w:t>
      </w:r>
    </w:p>
    <w:p>
      <w:pPr>
        <w:pStyle w:val="ListParagraph"/>
        <w:numPr>
          <w:ilvl w:val="0"/>
          <w:numId w:val="2"/>
        </w:numPr>
      </w:pPr>
      <w:r>
        <w:t xml:space="preserve">Auditability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Enterprise scalability</w:t>
      </w:r>
    </w:p>
    <w:p>
      <w:pPr>
        <w:spacing w:before="400"/>
      </w:pPr>
      <w:r>
        <w:rPr>
          <w:color w:val="999999"/>
          <w:sz w:val="18"/>
          <w:szCs w:val="18"/>
        </w:rPr>
        <w:t xml:space="preserve">Proprietary and Confidential. HEKAX LLC. All rights reserved.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left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2025-12-11T16:15:43.746Z</dcterms:created>
  <dcterms:modified xsi:type="dcterms:W3CDTF">2025-12-11T16:15:43.746Z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