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 Phone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Architecture Overview</w:t>
      </w:r>
    </w:p>
    <w:p>
      <w:pPr>
        <w:spacing w:after="300"/>
      </w:pPr>
      <w:r>
        <w:t xml:space="preserve">HEKAX Phone is designed as a multi-world communication platform with a clear separation between voice operations, messaging, live control, and decision making. The goal is to provide predictable behavior, tenant safety, and a foundation suitable for long-term scale.</w:t>
      </w:r>
    </w:p>
    <w:p>
      <w:pPr>
        <w:pStyle w:val="Heading1"/>
      </w:pPr>
      <w:r>
        <w:t xml:space="preserve">Core Worlds</w:t>
      </w:r>
    </w:p>
    <w:p>
      <w:pPr>
        <w:pStyle w:val="Heading2"/>
      </w:pPr>
      <w:r>
        <w:t xml:space="preserve">Calls World</w:t>
      </w:r>
    </w:p>
    <w:p>
      <w:pPr>
        <w:spacing w:after="100"/>
      </w:pPr>
      <w:r>
        <w:t xml:space="preserve">Responsible for:</w:t>
      </w:r>
    </w:p>
    <w:p>
      <w:pPr>
        <w:pStyle w:val="ListParagraph"/>
        <w:numPr>
          <w:ilvl w:val="0"/>
          <w:numId w:val="2"/>
        </w:numPr>
      </w:pPr>
      <w:r>
        <w:t xml:space="preserve">Inbound and outbound call flows</w:t>
      </w:r>
    </w:p>
    <w:p>
      <w:pPr>
        <w:pStyle w:val="ListParagraph"/>
        <w:numPr>
          <w:ilvl w:val="0"/>
          <w:numId w:val="2"/>
        </w:numPr>
      </w:pPr>
      <w:r>
        <w:t xml:space="preserve">Call transcription and summarization</w:t>
      </w:r>
    </w:p>
    <w:p>
      <w:pPr>
        <w:pStyle w:val="ListParagraph"/>
        <w:numPr>
          <w:ilvl w:val="0"/>
          <w:numId w:val="2"/>
        </w:numPr>
      </w:pPr>
      <w:r>
        <w:t xml:space="preserve">Caller intent detection</w:t>
      </w:r>
    </w:p>
    <w:p>
      <w:pPr>
        <w:pStyle w:val="ListParagraph"/>
        <w:numPr>
          <w:ilvl w:val="0"/>
          <w:numId w:val="2"/>
        </w:numPr>
      </w:pPr>
      <w:r>
        <w:t xml:space="preserve">Emergency and high-priority classification</w:t>
      </w:r>
    </w:p>
    <w:p>
      <w:pPr>
        <w:pStyle w:val="ListParagraph"/>
        <w:numPr>
          <w:ilvl w:val="0"/>
          <w:numId w:val="2"/>
        </w:numPr>
      </w:pPr>
      <w:r>
        <w:t xml:space="preserve">Industry-specific intake logic</w:t>
      </w:r>
    </w:p>
    <w:p>
      <w:pPr>
        <w:spacing w:after="200"/>
      </w:pPr>
      <w:r>
        <w:t xml:space="preserve">Calls World interacts closely with the Voice AI stack and Codex decision engine.</w:t>
      </w:r>
    </w:p>
    <w:p>
      <w:pPr>
        <w:pStyle w:val="Heading2"/>
      </w:pPr>
      <w:r>
        <w:t xml:space="preserve">Messages World</w:t>
      </w:r>
    </w:p>
    <w:p>
      <w:pPr>
        <w:spacing w:after="100"/>
      </w:pPr>
      <w:r>
        <w:t xml:space="preserve">Responsible for:</w:t>
      </w:r>
    </w:p>
    <w:p>
      <w:pPr>
        <w:pStyle w:val="ListParagraph"/>
        <w:numPr>
          <w:ilvl w:val="0"/>
          <w:numId w:val="3"/>
        </w:numPr>
      </w:pPr>
      <w:r>
        <w:t xml:space="preserve">Inbound and outbound messaging across supported channels</w:t>
      </w:r>
    </w:p>
    <w:p>
      <w:pPr>
        <w:pStyle w:val="ListParagraph"/>
        <w:numPr>
          <w:ilvl w:val="0"/>
          <w:numId w:val="3"/>
        </w:numPr>
      </w:pPr>
      <w:r>
        <w:t xml:space="preserve">Conversation grouping, threading, and status</w:t>
      </w:r>
    </w:p>
    <w:p>
      <w:pPr>
        <w:pStyle w:val="ListParagraph"/>
        <w:numPr>
          <w:ilvl w:val="0"/>
          <w:numId w:val="3"/>
        </w:numPr>
      </w:pPr>
      <w:r>
        <w:t xml:space="preserve">Smart Inbox prioritization based on Codex outputs</w:t>
      </w:r>
    </w:p>
    <w:p>
      <w:pPr>
        <w:pStyle w:val="ListParagraph"/>
        <w:numPr>
          <w:ilvl w:val="0"/>
          <w:numId w:val="3"/>
        </w:numPr>
      </w:pPr>
      <w:r>
        <w:t xml:space="preserve">Suggested replies and automated responses</w:t>
      </w:r>
    </w:p>
    <w:p>
      <w:pPr>
        <w:spacing w:after="200"/>
      </w:pPr>
      <w:r>
        <w:t xml:space="preserve">Messages World consumes decisions from Codex and exposes conversation-level state to the UI and Cockpit.</w:t>
      </w:r>
    </w:p>
    <w:p>
      <w:pPr>
        <w:pStyle w:val="Heading2"/>
      </w:pPr>
      <w:r>
        <w:t xml:space="preserve">Live Control World</w:t>
      </w:r>
    </w:p>
    <w:p>
      <w:pPr>
        <w:spacing w:after="100"/>
      </w:pPr>
      <w:r>
        <w:t xml:space="preserve">Responsible for:</w:t>
      </w:r>
    </w:p>
    <w:p>
      <w:pPr>
        <w:pStyle w:val="ListParagraph"/>
        <w:numPr>
          <w:ilvl w:val="0"/>
          <w:numId w:val="4"/>
        </w:numPr>
      </w:pPr>
      <w:r>
        <w:t xml:space="preserve">Real-time operational status</w:t>
      </w:r>
    </w:p>
    <w:p>
      <w:pPr>
        <w:pStyle w:val="ListParagraph"/>
        <w:numPr>
          <w:ilvl w:val="0"/>
          <w:numId w:val="4"/>
        </w:numPr>
      </w:pPr>
      <w:r>
        <w:t xml:space="preserve">SLA and queue monitoring</w:t>
      </w:r>
    </w:p>
    <w:p>
      <w:pPr>
        <w:pStyle w:val="ListParagraph"/>
        <w:numPr>
          <w:ilvl w:val="0"/>
          <w:numId w:val="4"/>
        </w:numPr>
      </w:pPr>
      <w:r>
        <w:t xml:space="preserve">Agent presence and capacity</w:t>
      </w:r>
    </w:p>
    <w:p>
      <w:pPr>
        <w:pStyle w:val="ListParagraph"/>
        <w:numPr>
          <w:ilvl w:val="0"/>
          <w:numId w:val="4"/>
        </w:numPr>
      </w:pPr>
      <w:r>
        <w:t xml:space="preserve">Surfacing alerts, warnings, and critical events</w:t>
      </w:r>
    </w:p>
    <w:p>
      <w:pPr>
        <w:spacing w:after="300"/>
      </w:pPr>
      <w:r>
        <w:t xml:space="preserve">Live Control uses both raw events and Codex decisions to provide a consolidated operational view.</w:t>
      </w:r>
    </w:p>
    <w:p>
      <w:pPr>
        <w:pStyle w:val="Heading1"/>
      </w:pPr>
      <w:r>
        <w:t xml:space="preserve">Decision Layer — Codex</w:t>
      </w:r>
    </w:p>
    <w:p>
      <w:pPr>
        <w:spacing w:after="100"/>
      </w:pPr>
      <w:r>
        <w:t xml:space="preserve">Codex is the central decision layer that evaluates events from Calls World and Messages World. It applies a chain of policies to determine:</w:t>
      </w:r>
    </w:p>
    <w:p>
      <w:pPr>
        <w:pStyle w:val="ListParagraph"/>
        <w:numPr>
          <w:ilvl w:val="0"/>
          <w:numId w:val="5"/>
        </w:numPr>
      </w:pPr>
      <w:r>
        <w:t xml:space="preserve">Priority</w:t>
      </w:r>
    </w:p>
    <w:p>
      <w:pPr>
        <w:pStyle w:val="ListParagraph"/>
        <w:numPr>
          <w:ilvl w:val="0"/>
          <w:numId w:val="5"/>
        </w:numPr>
      </w:pPr>
      <w:r>
        <w:t xml:space="preserve">Labels and classifications</w:t>
      </w:r>
    </w:p>
    <w:p>
      <w:pPr>
        <w:pStyle w:val="ListParagraph"/>
        <w:numPr>
          <w:ilvl w:val="0"/>
          <w:numId w:val="5"/>
        </w:numPr>
      </w:pPr>
      <w:r>
        <w:t xml:space="preserve">Recommended or required actions</w:t>
      </w:r>
    </w:p>
    <w:p>
      <w:pPr>
        <w:spacing w:after="300"/>
      </w:pPr>
      <w:r>
        <w:t xml:space="preserve">Codex is aware of industry profiles, organization configuration, and historical context.</w:t>
      </w:r>
    </w:p>
    <w:p>
      <w:pPr>
        <w:pStyle w:val="Heading1"/>
      </w:pPr>
      <w:r>
        <w:t xml:space="preserve">Intelligence Layer</w:t>
      </w:r>
    </w:p>
    <w:p>
      <w:pPr>
        <w:spacing w:after="100"/>
      </w:pPr>
      <w:r>
        <w:t xml:space="preserve">HEKAX Phone integrates with:</w:t>
      </w:r>
    </w:p>
    <w:p>
      <w:pPr>
        <w:pStyle w:val="ListParagraph"/>
        <w:numPr>
          <w:ilvl w:val="0"/>
          <w:numId w:val="6"/>
        </w:numPr>
      </w:pPr>
      <w:r>
        <w:t xml:space="preserve">Voice models for speech recognition and synthesis</w:t>
      </w:r>
    </w:p>
    <w:p>
      <w:pPr>
        <w:pStyle w:val="ListParagraph"/>
        <w:numPr>
          <w:ilvl w:val="0"/>
          <w:numId w:val="6"/>
        </w:numPr>
      </w:pPr>
      <w:r>
        <w:t xml:space="preserve">Small language models for low-latency reasoning</w:t>
      </w:r>
    </w:p>
    <w:p>
      <w:pPr>
        <w:pStyle w:val="ListParagraph"/>
        <w:numPr>
          <w:ilvl w:val="0"/>
          <w:numId w:val="6"/>
        </w:numPr>
      </w:pPr>
      <w:r>
        <w:t xml:space="preserve">External models when required</w:t>
      </w:r>
    </w:p>
    <w:p>
      <w:pPr>
        <w:spacing w:after="300"/>
      </w:pPr>
      <w:r>
        <w:t xml:space="preserve">The intelligence layer is accessed via a dedicated orchestration service. Model selection is abstracted away from application code.</w:t>
      </w:r>
    </w:p>
    <w:p>
      <w:pPr>
        <w:pStyle w:val="Heading1"/>
      </w:pPr>
      <w:r>
        <w:t xml:space="preserve">Event Mesh</w:t>
      </w:r>
    </w:p>
    <w:p>
      <w:pPr>
        <w:spacing w:after="100"/>
      </w:pPr>
      <w:r>
        <w:t xml:space="preserve">All significant events flow through a distributed event mesh built on streams and consumer groups. This provides:</w:t>
      </w:r>
    </w:p>
    <w:p>
      <w:pPr>
        <w:pStyle w:val="ListParagraph"/>
        <w:numPr>
          <w:ilvl w:val="0"/>
          <w:numId w:val="7"/>
        </w:numPr>
      </w:pPr>
      <w:r>
        <w:t xml:space="preserve">Decoupled processing</w:t>
      </w:r>
    </w:p>
    <w:p>
      <w:pPr>
        <w:pStyle w:val="ListParagraph"/>
        <w:numPr>
          <w:ilvl w:val="0"/>
          <w:numId w:val="7"/>
        </w:numPr>
      </w:pPr>
      <w:r>
        <w:t xml:space="preserve">Back-pressure handling</w:t>
      </w:r>
    </w:p>
    <w:p>
      <w:pPr>
        <w:pStyle w:val="ListParagraph"/>
        <w:numPr>
          <w:ilvl w:val="0"/>
          <w:numId w:val="7"/>
        </w:numPr>
      </w:pPr>
      <w:r>
        <w:t xml:space="preserve">Retry and dead-letter handling</w:t>
      </w:r>
    </w:p>
    <w:p>
      <w:pPr>
        <w:pStyle w:val="ListParagraph"/>
        <w:numPr>
          <w:ilvl w:val="0"/>
          <w:numId w:val="7"/>
        </w:numPr>
      </w:pPr>
      <w:r>
        <w:t xml:space="preserve">Real-time fan-out to WebSocket consumers</w:t>
      </w:r>
    </w:p>
    <w:p>
      <w:pPr>
        <w:spacing w:after="300"/>
      </w:pPr>
      <w:r>
        <w:t xml:space="preserve">Events include call lifecycle changes, message events, Codex decisions, state transitions, and trial usage updates.</w:t>
      </w:r>
    </w:p>
    <w:p>
      <w:pPr>
        <w:pStyle w:val="Heading1"/>
      </w:pPr>
      <w:r>
        <w:t xml:space="preserve">State and Storage</w:t>
      </w:r>
    </w:p>
    <w:p>
      <w:pPr>
        <w:spacing w:after="100"/>
      </w:pPr>
      <w:r>
        <w:t xml:space="preserve">Core persistent state is stored in a relational database, including:</w:t>
      </w:r>
    </w:p>
    <w:p>
      <w:pPr>
        <w:pStyle w:val="ListParagraph"/>
        <w:numPr>
          <w:ilvl w:val="0"/>
          <w:numId w:val="8"/>
        </w:numPr>
      </w:pPr>
      <w:r>
        <w:t xml:space="preserve">Organizations and tenants</w:t>
      </w:r>
    </w:p>
    <w:p>
      <w:pPr>
        <w:pStyle w:val="ListParagraph"/>
        <w:numPr>
          <w:ilvl w:val="0"/>
          <w:numId w:val="8"/>
        </w:numPr>
      </w:pPr>
      <w:r>
        <w:t xml:space="preserve">Users and roles</w:t>
      </w:r>
    </w:p>
    <w:p>
      <w:pPr>
        <w:pStyle w:val="ListParagraph"/>
        <w:numPr>
          <w:ilvl w:val="0"/>
          <w:numId w:val="8"/>
        </w:numPr>
      </w:pPr>
      <w:r>
        <w:t xml:space="preserve">Conversations and messages</w:t>
      </w:r>
    </w:p>
    <w:p>
      <w:pPr>
        <w:pStyle w:val="ListParagraph"/>
        <w:numPr>
          <w:ilvl w:val="0"/>
          <w:numId w:val="8"/>
        </w:numPr>
      </w:pPr>
      <w:r>
        <w:t xml:space="preserve">Calls and call summaries</w:t>
      </w:r>
    </w:p>
    <w:p>
      <w:pPr>
        <w:pStyle w:val="ListParagraph"/>
        <w:numPr>
          <w:ilvl w:val="0"/>
          <w:numId w:val="8"/>
        </w:numPr>
      </w:pPr>
      <w:r>
        <w:t xml:space="preserve">Decisions and audit records</w:t>
      </w:r>
    </w:p>
    <w:p>
      <w:pPr>
        <w:pStyle w:val="ListParagraph"/>
        <w:numPr>
          <w:ilvl w:val="0"/>
          <w:numId w:val="8"/>
        </w:numPr>
      </w:pPr>
      <w:r>
        <w:t xml:space="preserve">Trial and usage counters</w:t>
      </w:r>
    </w:p>
    <w:p>
      <w:pPr>
        <w:spacing w:after="300"/>
      </w:pPr>
      <w:r>
        <w:t xml:space="preserve">Object storage is used for larger artifacts where appropriate.</w:t>
      </w:r>
    </w:p>
    <w:p>
      <w:pPr>
        <w:pStyle w:val="Heading1"/>
      </w:pPr>
      <w:r>
        <w:t xml:space="preserve">Tenancy and Isolation</w:t>
      </w:r>
    </w:p>
    <w:p>
      <w:pPr>
        <w:spacing w:after="100"/>
      </w:pPr>
      <w:r>
        <w:t xml:space="preserve">Each organization is treated as an isolated tenant with:</w:t>
      </w:r>
    </w:p>
    <w:p>
      <w:pPr>
        <w:pStyle w:val="ListParagraph"/>
        <w:numPr>
          <w:ilvl w:val="0"/>
          <w:numId w:val="9"/>
        </w:numPr>
      </w:pPr>
      <w:r>
        <w:t xml:space="preserve">Separate logical data space</w:t>
      </w:r>
    </w:p>
    <w:p>
      <w:pPr>
        <w:pStyle w:val="ListParagraph"/>
        <w:numPr>
          <w:ilvl w:val="0"/>
          <w:numId w:val="9"/>
        </w:numPr>
      </w:pPr>
      <w:r>
        <w:t xml:space="preserve">Scoped authentication and authorization</w:t>
      </w:r>
    </w:p>
    <w:p>
      <w:pPr>
        <w:pStyle w:val="ListParagraph"/>
        <w:numPr>
          <w:ilvl w:val="0"/>
          <w:numId w:val="9"/>
        </w:numPr>
      </w:pPr>
      <w:r>
        <w:t xml:space="preserve">Clear event boundaries</w:t>
      </w:r>
    </w:p>
    <w:p>
      <w:pPr>
        <w:spacing w:after="400"/>
      </w:pPr>
      <w:r>
        <w:t xml:space="preserve">The architecture is prepared for further hardening around regional isolation and compliance.</w:t>
      </w:r>
    </w:p>
    <w:p>
      <w:pPr>
        <w:spacing w:after="400"/>
      </w:pPr>
      <w:r>
        <w:rPr>
          <w:i/>
          <w:iCs/>
        </w:rPr>
        <w:t xml:space="preserve">This overview is intended to give a clear, high-level view of how HEKAX Phone is structured. Detailed component and sequence diagrams can be maintained inside the HEKAX Architecture repository.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2025-12-11T15:45:44.776Z</dcterms:created>
  <dcterms:modified xsi:type="dcterms:W3CDTF">2025-12-11T15:45:44.776Z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