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HEKAX SLM Engine</w:t>
      </w:r>
    </w:p>
    <w:p>
      <w:pPr>
        <w:spacing w:after="400"/>
      </w:pPr>
      <w:r>
        <w:rPr>
          <w:color w:val="666666"/>
          <w:sz w:val="24"/>
          <w:szCs w:val="24"/>
        </w:rPr>
        <w:t xml:space="preserve">Domain-Specific Small Language Models</w:t>
      </w:r>
    </w:p>
    <w:p>
      <w:pPr>
        <w:spacing w:after="300"/>
      </w:pPr>
      <w:r>
        <w:t xml:space="preserve">The HEKAX SLM Engine develops domain-specific small language models optimized for fast, low-cost inference across voice and text communication workflows.</w:t>
      </w:r>
    </w:p>
    <w:p>
      <w:pPr>
        <w:pStyle w:val="Heading1"/>
      </w:pPr>
      <w:r>
        <w:t xml:space="preserve">Internal Applications</w:t>
      </w:r>
    </w:p>
    <w:p>
      <w:pPr>
        <w:pStyle w:val="ListParagraph"/>
        <w:numPr>
          <w:ilvl w:val="0"/>
          <w:numId w:val="2"/>
        </w:numPr>
      </w:pPr>
      <w:r>
        <w:t xml:space="preserve">Real-time automation</w:t>
      </w:r>
    </w:p>
    <w:p>
      <w:pPr>
        <w:pStyle w:val="ListParagraph"/>
        <w:numPr>
          <w:ilvl w:val="0"/>
          <w:numId w:val="2"/>
        </w:numPr>
      </w:pPr>
      <w:r>
        <w:t xml:space="preserve">Vertical reasoning</w:t>
      </w:r>
    </w:p>
    <w:p>
      <w:pPr>
        <w:pStyle w:val="ListParagraph"/>
        <w:numPr>
          <w:ilvl w:val="0"/>
          <w:numId w:val="2"/>
        </w:numPr>
      </w:pPr>
      <w:r>
        <w:t xml:space="preserve">Call intent classification</w:t>
      </w:r>
    </w:p>
    <w:p>
      <w:pPr>
        <w:pStyle w:val="ListParagraph"/>
        <w:numPr>
          <w:ilvl w:val="0"/>
          <w:numId w:val="2"/>
        </w:numPr>
      </w:pPr>
      <w:r>
        <w:t xml:space="preserve">Message drafting</w:t>
      </w:r>
    </w:p>
    <w:p>
      <w:pPr>
        <w:pStyle w:val="ListParagraph"/>
        <w:numPr>
          <w:ilvl w:val="0"/>
          <w:numId w:val="2"/>
        </w:numPr>
      </w:pPr>
      <w:r>
        <w:t xml:space="preserve">State handling</w:t>
      </w:r>
    </w:p>
    <w:p>
      <w:pPr>
        <w:pStyle w:val="ListParagraph"/>
        <w:numPr>
          <w:ilvl w:val="0"/>
          <w:numId w:val="2"/>
        </w:numPr>
        <w:spacing w:after="300"/>
      </w:pPr>
      <w:r>
        <w:t xml:space="preserve">Summarization</w:t>
      </w:r>
    </w:p>
    <w:p>
      <w:pPr>
        <w:pStyle w:val="Heading1"/>
      </w:pPr>
      <w:r>
        <w:t xml:space="preserve">Objectives</w:t>
      </w:r>
    </w:p>
    <w:p>
      <w:pPr>
        <w:pStyle w:val="ListParagraph"/>
        <w:numPr>
          <w:ilvl w:val="0"/>
          <w:numId w:val="3"/>
        </w:numPr>
      </w:pPr>
      <w:r>
        <w:t xml:space="preserve">Enable deterministic, domain-focused reasoning</w:t>
      </w:r>
    </w:p>
    <w:p>
      <w:pPr>
        <w:pStyle w:val="ListParagraph"/>
        <w:numPr>
          <w:ilvl w:val="0"/>
          <w:numId w:val="3"/>
        </w:numPr>
      </w:pPr>
      <w:r>
        <w:t xml:space="preserve">Reduce latency to sub-150ms</w:t>
      </w:r>
    </w:p>
    <w:p>
      <w:pPr>
        <w:pStyle w:val="ListParagraph"/>
        <w:numPr>
          <w:ilvl w:val="0"/>
          <w:numId w:val="3"/>
        </w:numPr>
      </w:pPr>
      <w:r>
        <w:t xml:space="preserve">Support on-device or single-GPU deployment</w:t>
      </w:r>
    </w:p>
    <w:p>
      <w:pPr>
        <w:pStyle w:val="ListParagraph"/>
        <w:numPr>
          <w:ilvl w:val="0"/>
          <w:numId w:val="3"/>
        </w:numPr>
      </w:pPr>
      <w:r>
        <w:t xml:space="preserve">Improve cost/performance for large-scale usage</w:t>
      </w:r>
    </w:p>
    <w:p>
      <w:pPr>
        <w:pStyle w:val="ListParagraph"/>
        <w:numPr>
          <w:ilvl w:val="0"/>
          <w:numId w:val="3"/>
        </w:numPr>
        <w:spacing w:after="300"/>
      </w:pPr>
      <w:r>
        <w:t xml:space="preserve">Support multi-model routing strategies</w:t>
      </w:r>
    </w:p>
    <w:p>
      <w:pPr>
        <w:pStyle w:val="Heading1"/>
      </w:pPr>
      <w:r>
        <w:t xml:space="preserve">Components</w:t>
      </w:r>
    </w:p>
    <w:p>
      <w:pPr>
        <w:pStyle w:val="ListParagraph"/>
        <w:numPr>
          <w:ilvl w:val="0"/>
          <w:numId w:val="4"/>
        </w:numPr>
      </w:pPr>
      <w:r>
        <w:t xml:space="preserve">Fine-tuning pipeline</w:t>
      </w:r>
    </w:p>
    <w:p>
      <w:pPr>
        <w:pStyle w:val="ListParagraph"/>
        <w:numPr>
          <w:ilvl w:val="0"/>
          <w:numId w:val="4"/>
        </w:numPr>
      </w:pPr>
      <w:r>
        <w:t xml:space="preserve">Evaluation suite</w:t>
      </w:r>
    </w:p>
    <w:p>
      <w:pPr>
        <w:pStyle w:val="ListParagraph"/>
        <w:numPr>
          <w:ilvl w:val="0"/>
          <w:numId w:val="4"/>
        </w:numPr>
      </w:pPr>
      <w:r>
        <w:t xml:space="preserve">Quantization scripts</w:t>
      </w:r>
    </w:p>
    <w:p>
      <w:pPr>
        <w:pStyle w:val="ListParagraph"/>
        <w:numPr>
          <w:ilvl w:val="0"/>
          <w:numId w:val="4"/>
        </w:numPr>
      </w:pPr>
      <w:r>
        <w:t xml:space="preserve">Dataset builders</w:t>
      </w:r>
    </w:p>
    <w:p>
      <w:pPr>
        <w:pStyle w:val="ListParagraph"/>
        <w:numPr>
          <w:ilvl w:val="0"/>
          <w:numId w:val="4"/>
        </w:numPr>
      </w:pPr>
      <w:r>
        <w:t xml:space="preserve">Industry task datasets</w:t>
      </w:r>
    </w:p>
    <w:p>
      <w:pPr>
        <w:pStyle w:val="ListParagraph"/>
        <w:numPr>
          <w:ilvl w:val="0"/>
          <w:numId w:val="4"/>
        </w:numPr>
        <w:spacing w:after="300"/>
      </w:pPr>
      <w:r>
        <w:t xml:space="preserve">Benchmark reports</w:t>
      </w:r>
    </w:p>
    <w:p>
      <w:pPr>
        <w:pStyle w:val="Heading1"/>
      </w:pPr>
      <w:r>
        <w:t xml:space="preserve">Industry SLM Profiles</w:t>
      </w:r>
    </w:p>
    <w:p>
      <w:pPr>
        <w:spacing w:after="100"/>
      </w:pPr>
      <w:r>
        <w:t xml:space="preserve">Each profile is tuned for specific terminology, workflows, and decision structures:</w:t>
      </w:r>
    </w:p>
    <w:p>
      <w:pPr>
        <w:pStyle w:val="ListParagraph"/>
        <w:numPr>
          <w:ilvl w:val="0"/>
          <w:numId w:val="5"/>
        </w:numPr>
      </w:pPr>
      <w:r>
        <w:t xml:space="preserve">Legal</w:t>
      </w:r>
    </w:p>
    <w:p>
      <w:pPr>
        <w:pStyle w:val="ListParagraph"/>
        <w:numPr>
          <w:ilvl w:val="0"/>
          <w:numId w:val="5"/>
        </w:numPr>
      </w:pPr>
      <w:r>
        <w:t xml:space="preserve">Medical</w:t>
      </w:r>
    </w:p>
    <w:p>
      <w:pPr>
        <w:pStyle w:val="ListParagraph"/>
        <w:numPr>
          <w:ilvl w:val="0"/>
          <w:numId w:val="5"/>
        </w:numPr>
      </w:pPr>
      <w:r>
        <w:t xml:space="preserve">HVAC / Plumbing / Electrical</w:t>
      </w:r>
    </w:p>
    <w:p>
      <w:pPr>
        <w:pStyle w:val="ListParagraph"/>
        <w:numPr>
          <w:ilvl w:val="0"/>
          <w:numId w:val="5"/>
        </w:numPr>
      </w:pPr>
      <w:r>
        <w:t xml:space="preserve">BPO</w:t>
      </w:r>
    </w:p>
    <w:p>
      <w:pPr>
        <w:pStyle w:val="ListParagraph"/>
        <w:numPr>
          <w:ilvl w:val="0"/>
          <w:numId w:val="5"/>
        </w:numPr>
      </w:pPr>
      <w:r>
        <w:t xml:space="preserve">SaaS</w:t>
      </w:r>
    </w:p>
    <w:p>
      <w:pPr>
        <w:pStyle w:val="ListParagraph"/>
        <w:numPr>
          <w:ilvl w:val="0"/>
          <w:numId w:val="5"/>
        </w:numPr>
        <w:spacing w:after="400"/>
      </w:pPr>
      <w:r>
        <w:t xml:space="preserve">Real Estate</w:t>
      </w:r>
    </w:p>
    <w:p>
      <w:pPr>
        <w:spacing w:before="400"/>
      </w:pPr>
      <w:r>
        <w:rPr>
          <w:color w:val="999999"/>
          <w:sz w:val="18"/>
          <w:szCs w:val="18"/>
        </w:rPr>
        <w:t xml:space="preserve">Proprietary and Confidential. HEKAX LLC. All rights reserved.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left"/>
    </w:pPr>
    <w:rPr>
      <w:rFonts w:ascii="Arial" w:cs="Arial" w:eastAsia="Arial" w:hAnsi="Arial"/>
      <w:b/>
      <w:bCs/>
      <w:color w:val="000000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1a1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2025-12-11T16:14:31.734Z</dcterms:created>
  <dcterms:modified xsi:type="dcterms:W3CDTF">2025-12-11T16:14:31.735Z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