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color w:val="1A1F16"/>
          <w:sz w:val="48"/>
          <w:szCs w:val="48"/>
        </w:rPr>
        <w:t xml:space="preserve">Bibliographic Report on Security Analysis</w:t>
      </w:r>
    </w:p>
    <w:p>
      <w:pPr>
        <w:spacing w:after="400" w:before="0"/>
        <w:jc w:val="center"/>
      </w:pPr>
      <w:r>
        <w:rPr>
          <w:rFonts w:ascii="Times New Roman" w:cs="Times New Roman" w:eastAsia="Times New Roman" w:hAnsi="Times New Roman"/>
          <w:b/>
          <w:bCs/>
          <w:color w:val="4A5548"/>
          <w:sz w:val="36"/>
          <w:szCs w:val="36"/>
        </w:rPr>
        <w:t xml:space="preserve">in Infrastructure-as-Code and Smart Contracts</w:t>
      </w:r>
    </w:p>
    <w:p>
      <w:pPr>
        <w:spacing w:after="600" w:before="200"/>
        <w:jc w:val="center"/>
      </w:pPr>
      <w:r>
        <w:rPr>
          <w:rFonts w:ascii="Times New Roman" w:cs="Times New Roman" w:eastAsia="Times New Roman" w:hAnsi="Times New Roman"/>
          <w:i/>
          <w:iCs/>
          <w:color w:val="2D3329"/>
          <w:sz w:val="24"/>
          <w:szCs w:val="24"/>
        </w:rPr>
        <w:t xml:space="preserve">A Comprehensive Survey of Models, Methods, and Proposals</w:t>
      </w:r>
    </w:p>
    <w:p>
      <w:pPr>
        <w:pStyle w:val="Heading1"/>
        <w:spacing w:after="200" w:before="360" w:line="250"/>
      </w:pPr>
      <w:r>
        <w:rPr>
          <w:rFonts w:ascii="Times New Roman" w:cs="Times New Roman" w:eastAsia="Times New Roman" w:hAnsi="Times New Roman"/>
          <w:b/>
          <w:bCs/>
          <w:color w:val="1A1F16"/>
          <w:sz w:val="32"/>
          <w:szCs w:val="32"/>
        </w:rPr>
        <w:t xml:space="preserve">Abstract</w:t>
      </w:r>
    </w:p>
    <w:p>
      <w:pPr>
        <w:spacing w:after="120" w:before="120" w:line="250"/>
        <w:ind w:firstLine="0"/>
        <w:jc w:val="both"/>
      </w:pPr>
      <w:r>
        <w:rPr>
          <w:rFonts w:ascii="Times New Roman" w:cs="Times New Roman" w:eastAsia="Times New Roman" w:hAnsi="Times New Roman"/>
          <w:color w:val="2D3329"/>
          <w:sz w:val="22"/>
          <w:szCs w:val="22"/>
        </w:rPr>
        <w:t xml:space="preserve">This bibliographic report presents a comprehensive analysis of ten research papers focusing on security aspects in Infrastructure-as-Code (IaC) and Smart Contracts. The papers span from 2022 to 2025, representing the state-of-the-art in vulnerability detection, security smell taxonomy, and the application of Large Language Models (LLMs) for security analysis. We summarize the key models, methodologies, and findings from each paper, followed by a synthesis and proposal for future research directions. The analysis reveals a clear trend toward LLM-based approaches for security analysis, while highlighting the continued importance of traditional static analysis tools. We identify gaps in current research and propose an integrated framework that combines the strengths of both approaches.</w:t>
      </w:r>
    </w:p>
    <w:p>
      <w:r>
        <w:br w:type="page"/>
      </w:r>
    </w:p>
    <w:sdt>
      <w:sdtPr>
        <w:alias w:val="Table of Contents"/>
      </w:sdtPr>
      <w:sdtContent>
        <w:p>
          <w:r>
            <w:fldChar w:fldCharType="begin" w:dirty="true"/>
            <w:instrText xml:space="preserve">TOC \h \o "1-3"</w:instrText>
            <w:fldChar w:fldCharType="separate"/>
          </w:r>
        </w:p>
        <w:p>
          <w:pPr>
            <w:pStyle w:val="9"/>
            <w:tabs>
              <w:tab w:val="right" w:leader="dot" w:pos="9026"/>
            </w:tabs>
          </w:pPr>
          <w:r>
            <w:t>1. Introduction</w:t>
          </w:r>
          <w:r>
            <w:tab/>
          </w:r>
          <w:r>
            <w:t>1</w:t>
          </w:r>
        </w:p>
        <w:p>
          <w:pPr>
            <w:pStyle w:val="9"/>
            <w:tabs>
              <w:tab w:val="right" w:leader="dot" w:pos="9026"/>
            </w:tabs>
          </w:pPr>
          <w:r>
            <w:t>2. Summary of Analyzed Papers</w:t>
          </w:r>
          <w:r>
            <w:tab/>
          </w:r>
          <w:r>
            <w:t>2</w:t>
          </w:r>
        </w:p>
        <w:p>
          <w:pPr>
            <w:pStyle w:val="11"/>
            <w:ind w:left="360"/>
            <w:tabs>
              <w:tab w:val="right" w:leader="dot" w:pos="9026"/>
            </w:tabs>
          </w:pPr>
          <w:r>
            <w:t>2.1 Paper 1: Vulnerabilities in Infrastructure as Code (EMSE 2025)</w:t>
          </w:r>
          <w:r>
            <w:tab/>
          </w:r>
          <w:r>
            <w:t>2</w:t>
          </w:r>
        </w:p>
        <w:p>
          <w:pPr>
            <w:pStyle w:val="11"/>
            <w:ind w:left="360"/>
            <w:tabs>
              <w:tab w:val="right" w:leader="dot" w:pos="9026"/>
            </w:tabs>
          </w:pPr>
          <w:r>
            <w:t>2.2 Paper 2: GLITCH - Automated Polyglot Security Smell Detection (ASE 2022)</w:t>
          </w:r>
          <w:r>
            <w:tab/>
          </w:r>
          <w:r>
            <w:t>3</w:t>
          </w:r>
        </w:p>
        <w:p>
          <w:pPr>
            <w:pStyle w:val="11"/>
            <w:ind w:left="360"/>
            <w:tabs>
              <w:tab w:val="right" w:leader="dot" w:pos="9026"/>
            </w:tabs>
          </w:pPr>
          <w:r>
            <w:t>2.3 Paper 3: DAppSCAN - Smart Contract Weakness Datasets (TSE 2024)</w:t>
          </w:r>
          <w:r>
            <w:tab/>
          </w:r>
          <w:r>
            <w:t>4</w:t>
          </w:r>
        </w:p>
        <w:p>
          <w:pPr>
            <w:pStyle w:val="11"/>
            <w:ind w:left="360"/>
            <w:tabs>
              <w:tab w:val="right" w:leader="dot" w:pos="9026"/>
            </w:tabs>
          </w:pPr>
          <w:r>
            <w:t>2.4 Paper 4: Defect Taxonomy for IaC - A Replication Study</w:t>
          </w:r>
          <w:r>
            <w:tab/>
          </w:r>
          <w:r>
            <w:t>5</w:t>
          </w:r>
        </w:p>
        <w:p>
          <w:pPr>
            <w:pStyle w:val="11"/>
            <w:ind w:left="360"/>
            <w:tabs>
              <w:tab w:val="right" w:leader="dot" w:pos="9026"/>
            </w:tabs>
          </w:pPr>
          <w:r>
            <w:t>2.5 Paper 5: Forge - LLM-Driven Vulnerability Dataset Construction</w:t>
          </w:r>
          <w:r>
            <w:tab/>
          </w:r>
          <w:r>
            <w:t>6</w:t>
          </w:r>
        </w:p>
        <w:p>
          <w:pPr>
            <w:pStyle w:val="11"/>
            <w:ind w:left="360"/>
            <w:tabs>
              <w:tab w:val="right" w:leader="dot" w:pos="9026"/>
            </w:tabs>
          </w:pPr>
          <w:r>
            <w:t>2.6 Paper 6: LLMs vs Static Code Analysis Tools - A Benchmark</w:t>
          </w:r>
          <w:r>
            <w:tab/>
          </w:r>
          <w:r>
            <w:t>7</w:t>
          </w:r>
        </w:p>
        <w:p>
          <w:pPr>
            <w:pStyle w:val="11"/>
            <w:ind w:left="360"/>
            <w:tabs>
              <w:tab w:val="right" w:leader="dot" w:pos="9026"/>
            </w:tabs>
          </w:pPr>
          <w:r>
            <w:t>2.7 Paper 7: Security Smells Taxonomy Update Beyond Seven Sins</w:t>
          </w:r>
          <w:r>
            <w:tab/>
          </w:r>
          <w:r>
            <w:t>8</w:t>
          </w:r>
        </w:p>
        <w:p>
          <w:pPr>
            <w:pStyle w:val="11"/>
            <w:ind w:left="360"/>
            <w:tabs>
              <w:tab w:val="right" w:leader="dot" w:pos="9026"/>
            </w:tabs>
          </w:pPr>
          <w:r>
            <w:t>2.8 Paper 8: Semantics-Aware Detection of Security Smells in IaC</w:t>
          </w:r>
          <w:r>
            <w:tab/>
          </w:r>
          <w:r>
            <w:t>9</w:t>
          </w:r>
        </w:p>
        <w:p>
          <w:pPr>
            <w:pStyle w:val="11"/>
            <w:ind w:left="360"/>
            <w:tabs>
              <w:tab w:val="right" w:leader="dot" w:pos="9026"/>
            </w:tabs>
          </w:pPr>
          <w:r>
            <w:t>2.9 Paper 9: GenSIaC - Security-Aware IaC Generation with LLMs</w:t>
          </w:r>
          <w:r>
            <w:tab/>
          </w:r>
          <w:r>
            <w:t>10</w:t>
          </w:r>
        </w:p>
        <w:p>
          <w:pPr>
            <w:pStyle w:val="11"/>
            <w:ind w:left="360"/>
            <w:tabs>
              <w:tab w:val="right" w:leader="dot" w:pos="9026"/>
            </w:tabs>
          </w:pPr>
          <w:r>
            <w:t>2.10 Paper 10: Agent READMEs - Context Files for Agentic Coding</w:t>
          </w:r>
          <w:r>
            <w:tab/>
          </w:r>
          <w:r>
            <w:t>11</w:t>
          </w:r>
        </w:p>
        <w:p>
          <w:pPr>
            <w:pStyle w:val="9"/>
            <w:tabs>
              <w:tab w:val="right" w:leader="dot" w:pos="9026"/>
            </w:tabs>
          </w:pPr>
          <w:r>
            <w:t>3. Comparative Analysis of Models and Methods</w:t>
          </w:r>
          <w:r>
            <w:tab/>
          </w:r>
          <w:r>
            <w:t>12</w:t>
          </w:r>
        </w:p>
        <w:p>
          <w:pPr>
            <w:pStyle w:val="9"/>
            <w:tabs>
              <w:tab w:val="right" w:leader="dot" w:pos="9026"/>
            </w:tabs>
          </w:pPr>
          <w:r>
            <w:t>4. Proposed Framework</w:t>
          </w:r>
          <w:r>
            <w:tab/>
          </w:r>
          <w:r>
            <w:t>14</w:t>
          </w:r>
        </w:p>
        <w:p>
          <w:pPr>
            <w:pStyle w:val="9"/>
            <w:tabs>
              <w:tab w:val="right" w:leader="dot" w:pos="9026"/>
            </w:tabs>
          </w:pPr>
          <w:r>
            <w:t>5. Research Gaps and Future Directions</w:t>
          </w:r>
          <w:r>
            <w:tab/>
          </w:r>
          <w:r>
            <w:t>16</w:t>
          </w:r>
        </w:p>
        <w:p>
          <w:pPr>
            <w:pStyle w:val="9"/>
            <w:tabs>
              <w:tab w:val="right" w:leader="dot" w:pos="9026"/>
            </w:tabs>
          </w:pPr>
          <w:r>
            <w:t>6. Conclusion</w:t>
          </w:r>
          <w:r>
            <w:tab/>
          </w:r>
          <w:r>
            <w:t>17</w:t>
          </w:r>
        </w:p>
        <w:p>
          <w:pPr>
            <w:pStyle w:val="9"/>
            <w:tabs>
              <w:tab w:val="right" w:leader="dot" w:pos="9026"/>
            </w:tabs>
          </w:pPr>
          <w:r>
            <w:t>References</w:t>
          </w:r>
          <w:r>
            <w:tab/>
          </w:r>
          <w:r>
            <w:t>18</w:t>
          </w:r>
        </w:p>
        <w:p>
          <w:r>
            <w:fldChar w:fldCharType="end"/>
          </w:r>
        </w:p>
      </w:sdtContent>
    </w:sdt>
    <w:p>
      <w:pPr>
        <w:spacing w:after="400" w:before="200"/>
        <w:jc w:val="center"/>
      </w:pPr>
      <w:r>
        <w:rPr>
          <w:rFonts w:ascii="Times New Roman" w:cs="Times New Roman" w:eastAsia="Times New Roman" w:hAnsi="Times New Roman"/>
          <w:i/>
          <w:iCs/>
          <w:color w:val="94A3B8"/>
          <w:sz w:val="18"/>
          <w:szCs w:val="18"/>
        </w:rPr>
        <w:t xml:space="preserve">Note: Right-click the Table of Contents and select 'Update Field' to refresh page numbers.</w:t>
      </w:r>
    </w:p>
    <w:p>
      <w:r>
        <w:br w:type="page"/>
      </w:r>
    </w:p>
    <w:p>
      <w:pPr>
        <w:pStyle w:val="Heading1"/>
        <w:spacing w:after="200" w:before="360" w:line="250"/>
      </w:pPr>
      <w:r>
        <w:rPr>
          <w:rFonts w:ascii="Times New Roman" w:cs="Times New Roman" w:eastAsia="Times New Roman" w:hAnsi="Times New Roman"/>
          <w:b/>
          <w:bCs/>
          <w:color w:val="1A1F16"/>
          <w:sz w:val="32"/>
          <w:szCs w:val="32"/>
        </w:rPr>
        <w:t xml:space="preserve">1. Introduction</w:t>
      </w:r>
    </w:p>
    <w:p>
      <w:pPr>
        <w:spacing w:after="120" w:before="120" w:line="250"/>
        <w:ind w:firstLine="0"/>
        <w:jc w:val="both"/>
      </w:pPr>
      <w:r>
        <w:rPr>
          <w:rFonts w:ascii="Times New Roman" w:cs="Times New Roman" w:eastAsia="Times New Roman" w:hAnsi="Times New Roman"/>
          <w:color w:val="2D3329"/>
          <w:sz w:val="22"/>
          <w:szCs w:val="22"/>
        </w:rPr>
        <w:t xml:space="preserve">Infrastructure-as-Code (IaC) has become a cornerstone of modern DevOps practice, enabling the automated provisioning and management of IT infrastructure through code and automation. Similarly, smart contracts on blockchain platforms like Ethereum have revolutionized decentralized application development. However, both domains face significant security challenges that can lead to severe financial and operational consequences.</w:t>
      </w:r>
    </w:p>
    <w:p>
      <w:pPr>
        <w:spacing w:after="120" w:before="120" w:line="250"/>
        <w:ind w:firstLine="0"/>
        <w:jc w:val="both"/>
      </w:pPr>
      <w:r>
        <w:rPr>
          <w:rFonts w:ascii="Times New Roman" w:cs="Times New Roman" w:eastAsia="Times New Roman" w:hAnsi="Times New Roman"/>
          <w:color w:val="2D3329"/>
          <w:sz w:val="22"/>
          <w:szCs w:val="22"/>
        </w:rPr>
        <w:t xml:space="preserve">This bibliographic report analyzes ten research papers that address security concerns in IaC and smart contracts from various perspectives. The papers can be broadly categorized into three main themes: (1) vulnerability detection and taxonomy development, (2) application of Large Language Models (LLMs) for security analysis, and (3) comparative evaluation of detection tools and methods.</w:t>
      </w:r>
    </w:p>
    <w:p>
      <w:pPr>
        <w:spacing w:after="120" w:before="120" w:line="250"/>
        <w:ind w:firstLine="0"/>
        <w:jc w:val="both"/>
      </w:pPr>
      <w:r>
        <w:rPr>
          <w:rFonts w:ascii="Times New Roman" w:cs="Times New Roman" w:eastAsia="Times New Roman" w:hAnsi="Times New Roman"/>
          <w:color w:val="2D3329"/>
          <w:sz w:val="22"/>
          <w:szCs w:val="22"/>
        </w:rPr>
        <w:t xml:space="preserve">The evolution of research in this field shows a clear trajectory from rule-based static analysis tools toward more sophisticated approaches leveraging machine learning and LLMs. This report synthesizes the findings from these papers and provides insights into the current state-of-the-art, remaining challenges, and potential future directions.</w:t>
      </w:r>
    </w:p>
    <w:p>
      <w:pPr>
        <w:pStyle w:val="Heading1"/>
        <w:spacing w:after="200" w:before="360" w:line="250"/>
      </w:pPr>
      <w:r>
        <w:rPr>
          <w:rFonts w:ascii="Times New Roman" w:cs="Times New Roman" w:eastAsia="Times New Roman" w:hAnsi="Times New Roman"/>
          <w:b/>
          <w:bCs/>
          <w:color w:val="1A1F16"/>
          <w:sz w:val="32"/>
          <w:szCs w:val="32"/>
        </w:rPr>
        <w:t xml:space="preserve">2. Summary of Analyzed Papers</w:t>
      </w:r>
    </w:p>
    <w:p>
      <w:pPr>
        <w:pStyle w:val="Heading2"/>
        <w:spacing w:after="160" w:before="280" w:line="250"/>
      </w:pPr>
      <w:r>
        <w:rPr>
          <w:rFonts w:ascii="Times New Roman" w:cs="Times New Roman" w:eastAsia="Times New Roman" w:hAnsi="Times New Roman"/>
          <w:b/>
          <w:bCs/>
          <w:color w:val="4A5548"/>
          <w:sz w:val="28"/>
          <w:szCs w:val="28"/>
        </w:rPr>
        <w:t xml:space="preserve">2.1 Paper 1: Vulnerabilities in Infrastructure as Code (EMSE 2025)</w:t>
      </w:r>
    </w:p>
    <w:p>
      <w:pPr>
        <w:spacing w:after="60" w:before="120" w:line="250"/>
      </w:pPr>
      <w:r>
        <w:rPr>
          <w:rFonts w:ascii="Times New Roman" w:cs="Times New Roman" w:eastAsia="Times New Roman" w:hAnsi="Times New Roman"/>
          <w:b/>
          <w:bCs/>
          <w:color w:val="2D3329"/>
          <w:sz w:val="22"/>
          <w:szCs w:val="22"/>
        </w:rPr>
        <w:t xml:space="preserve">Authors: </w:t>
      </w:r>
      <w:r>
        <w:rPr>
          <w:rFonts w:ascii="Times New Roman" w:cs="Times New Roman" w:eastAsia="Times New Roman" w:hAnsi="Times New Roman"/>
          <w:color w:val="2D3329"/>
          <w:sz w:val="22"/>
          <w:szCs w:val="22"/>
        </w:rPr>
        <w:t xml:space="preserve">Aicha War, Alioune Diallo, Andrew Habib, Jacques Klein, Tegawendé F. Bissyandé</w:t>
      </w:r>
    </w:p>
    <w:p>
      <w:pPr>
        <w:spacing w:after="60" w:before="120" w:line="250"/>
      </w:pPr>
      <w:r>
        <w:rPr>
          <w:rFonts w:ascii="Times New Roman" w:cs="Times New Roman" w:eastAsia="Times New Roman" w:hAnsi="Times New Roman"/>
          <w:b/>
          <w:bCs/>
          <w:color w:val="2D3329"/>
          <w:sz w:val="22"/>
          <w:szCs w:val="22"/>
        </w:rPr>
        <w:t xml:space="preserve">Publication: </w:t>
      </w:r>
      <w:r>
        <w:rPr>
          <w:rFonts w:ascii="Times New Roman" w:cs="Times New Roman" w:eastAsia="Times New Roman" w:hAnsi="Times New Roman"/>
          <w:color w:val="2D3329"/>
          <w:sz w:val="22"/>
          <w:szCs w:val="22"/>
        </w:rPr>
        <w:t xml:space="preserve">Empirical Software Engineering, 2025</w:t>
      </w:r>
    </w:p>
    <w:p>
      <w:pPr>
        <w:pStyle w:val="Heading3"/>
        <w:spacing w:after="120" w:before="200" w:line="250"/>
      </w:pPr>
      <w:r>
        <w:rPr>
          <w:rFonts w:ascii="Times New Roman" w:cs="Times New Roman" w:eastAsia="Times New Roman" w:hAnsi="Times New Roman"/>
          <w:b/>
          <w:bCs/>
          <w:color w:val="2D3329"/>
          <w:sz w:val="24"/>
          <w:szCs w:val="24"/>
        </w:rPr>
        <w:t xml:space="preserve">Overview</w:t>
      </w:r>
    </w:p>
    <w:p>
      <w:pPr>
        <w:spacing w:after="120" w:before="120" w:line="250"/>
        <w:ind w:firstLine="0"/>
        <w:jc w:val="both"/>
      </w:pPr>
      <w:r>
        <w:rPr>
          <w:rFonts w:ascii="Times New Roman" w:cs="Times New Roman" w:eastAsia="Times New Roman" w:hAnsi="Times New Roman"/>
          <w:color w:val="2D3329"/>
          <w:sz w:val="22"/>
          <w:szCs w:val="22"/>
        </w:rPr>
        <w:t xml:space="preserve">This comprehensive empirical study investigates security vulnerabilities across Infrastructure-as-Code components, including tools, scripts, and add-ons. The research employs Static Application Security Testing (SAST) tools, specifically Snyk and Horusec, to analyze over 1,600 repositories encompassing seven widely adopted IaC tools including Ansible, Terraform, Chef, Puppet, Saltstack, Pulumi, and Vagrant.</w:t>
      </w:r>
    </w:p>
    <w:p>
      <w:pPr>
        <w:pStyle w:val="Heading3"/>
        <w:spacing w:after="120" w:before="200" w:line="250"/>
      </w:pPr>
      <w:r>
        <w:rPr>
          <w:rFonts w:ascii="Times New Roman" w:cs="Times New Roman" w:eastAsia="Times New Roman" w:hAnsi="Times New Roman"/>
          <w:b/>
          <w:bCs/>
          <w:color w:val="2D3329"/>
          <w:sz w:val="24"/>
          <w:szCs w:val="24"/>
        </w:rPr>
        <w:t xml:space="preserve">Key Findings</w:t>
      </w:r>
    </w:p>
    <w:p>
      <w:pPr>
        <w:spacing w:after="120" w:before="120" w:line="250"/>
        <w:ind w:firstLine="0"/>
        <w:jc w:val="both"/>
      </w:pPr>
      <w:r>
        <w:rPr>
          <w:rFonts w:ascii="Times New Roman" w:cs="Times New Roman" w:eastAsia="Times New Roman" w:hAnsi="Times New Roman"/>
          <w:color w:val="2D3329"/>
          <w:sz w:val="22"/>
          <w:szCs w:val="22"/>
        </w:rPr>
        <w:t xml:space="preserve">The study reveals that IaC components are plagued by exploitable vulnerabilities spanning all ten categories of the OWASP Top 10 2021. A particularly significant finding is that manifest files emerge as the most vulnerable artifacts within the IaC ecosystem. The research also uncovers that IaC vulnerabilities frequently stem from non-specialized actors attempting modifications within components outside their expertise, highlighting the importance of cross-functional collaboration in DevSecOps practices.</w:t>
      </w:r>
    </w:p>
    <w:p>
      <w:pPr>
        <w:pStyle w:val="Heading3"/>
        <w:spacing w:after="120" w:before="200" w:line="250"/>
      </w:pPr>
      <w:r>
        <w:rPr>
          <w:rFonts w:ascii="Times New Roman" w:cs="Times New Roman" w:eastAsia="Times New Roman" w:hAnsi="Times New Roman"/>
          <w:b/>
          <w:bCs/>
          <w:color w:val="2D3329"/>
          <w:sz w:val="24"/>
          <w:szCs w:val="24"/>
        </w:rPr>
        <w:t xml:space="preserve">Models and Tools</w:t>
      </w:r>
    </w:p>
    <w:p>
      <w:pPr>
        <w:pStyle w:val="ListParagraph"/>
        <w:numPr>
          <w:ilvl w:val="0"/>
          <w:numId w:val="2"/>
        </w:numPr>
        <w:spacing w:after="60" w:before="60" w:line="250"/>
      </w:pPr>
      <w:r>
        <w:rPr>
          <w:rFonts w:ascii="Times New Roman" w:cs="Times New Roman" w:eastAsia="Times New Roman" w:hAnsi="Times New Roman"/>
          <w:color w:val="2D3329"/>
          <w:sz w:val="22"/>
          <w:szCs w:val="22"/>
        </w:rPr>
        <w:t xml:space="preserve">SAST Tools: Snyk, Horusec</w:t>
      </w:r>
    </w:p>
    <w:p>
      <w:pPr>
        <w:pStyle w:val="ListParagraph"/>
        <w:numPr>
          <w:ilvl w:val="0"/>
          <w:numId w:val="2"/>
        </w:numPr>
        <w:spacing w:after="60" w:before="60" w:line="250"/>
      </w:pPr>
      <w:r>
        <w:rPr>
          <w:rFonts w:ascii="Times New Roman" w:cs="Times New Roman" w:eastAsia="Times New Roman" w:hAnsi="Times New Roman"/>
          <w:color w:val="2D3329"/>
          <w:sz w:val="22"/>
          <w:szCs w:val="22"/>
        </w:rPr>
        <w:t xml:space="preserve">Classification Framework: OWASP Top 10 2021</w:t>
      </w:r>
    </w:p>
    <w:p>
      <w:pPr>
        <w:pStyle w:val="ListParagraph"/>
        <w:numPr>
          <w:ilvl w:val="0"/>
          <w:numId w:val="2"/>
        </w:numPr>
        <w:spacing w:after="60" w:before="60" w:line="250"/>
      </w:pPr>
      <w:r>
        <w:rPr>
          <w:rFonts w:ascii="Times New Roman" w:cs="Times New Roman" w:eastAsia="Times New Roman" w:hAnsi="Times New Roman"/>
          <w:color w:val="2D3329"/>
          <w:sz w:val="22"/>
          <w:szCs w:val="22"/>
        </w:rPr>
        <w:t xml:space="preserve">Automation: Jenkins CI/CD pipeline</w:t>
      </w:r>
    </w:p>
    <w:p>
      <w:pPr>
        <w:pStyle w:val="ListParagraph"/>
        <w:numPr>
          <w:ilvl w:val="0"/>
          <w:numId w:val="2"/>
        </w:numPr>
        <w:spacing w:after="60" w:before="60" w:line="250"/>
      </w:pPr>
      <w:r>
        <w:rPr>
          <w:rFonts w:ascii="Times New Roman" w:cs="Times New Roman" w:eastAsia="Times New Roman" w:hAnsi="Times New Roman"/>
          <w:color w:val="2D3329"/>
          <w:sz w:val="22"/>
          <w:szCs w:val="22"/>
        </w:rPr>
        <w:t xml:space="preserve">Data Sources: 1,600+ GitHub repositories</w:t>
      </w:r>
    </w:p>
    <w:p>
      <w:pPr>
        <w:pStyle w:val="Heading2"/>
        <w:spacing w:after="160" w:before="280" w:line="250"/>
      </w:pPr>
      <w:r>
        <w:rPr>
          <w:rFonts w:ascii="Times New Roman" w:cs="Times New Roman" w:eastAsia="Times New Roman" w:hAnsi="Times New Roman"/>
          <w:b/>
          <w:bCs/>
          <w:color w:val="4A5548"/>
          <w:sz w:val="28"/>
          <w:szCs w:val="28"/>
        </w:rPr>
        <w:t xml:space="preserve">2.2 Paper 2: GLITCH - Automated Polyglot Security Smell Detection (ASE 2022)</w:t>
      </w:r>
    </w:p>
    <w:p>
      <w:pPr>
        <w:spacing w:after="60" w:before="120" w:line="250"/>
      </w:pPr>
      <w:r>
        <w:rPr>
          <w:rFonts w:ascii="Times New Roman" w:cs="Times New Roman" w:eastAsia="Times New Roman" w:hAnsi="Times New Roman"/>
          <w:b/>
          <w:bCs/>
          <w:color w:val="2D3329"/>
          <w:sz w:val="22"/>
          <w:szCs w:val="22"/>
        </w:rPr>
        <w:t xml:space="preserve">Authors: </w:t>
      </w:r>
      <w:r>
        <w:rPr>
          <w:rFonts w:ascii="Times New Roman" w:cs="Times New Roman" w:eastAsia="Times New Roman" w:hAnsi="Times New Roman"/>
          <w:color w:val="2D3329"/>
          <w:sz w:val="22"/>
          <w:szCs w:val="22"/>
        </w:rPr>
        <w:t xml:space="preserve">Nuno Saavedra, João F. Ferreira</w:t>
      </w:r>
    </w:p>
    <w:p>
      <w:pPr>
        <w:spacing w:after="60" w:before="120" w:line="250"/>
      </w:pPr>
      <w:r>
        <w:rPr>
          <w:rFonts w:ascii="Times New Roman" w:cs="Times New Roman" w:eastAsia="Times New Roman" w:hAnsi="Times New Roman"/>
          <w:b/>
          <w:bCs/>
          <w:color w:val="2D3329"/>
          <w:sz w:val="22"/>
          <w:szCs w:val="22"/>
        </w:rPr>
        <w:t xml:space="preserve">Publication: </w:t>
      </w:r>
      <w:r>
        <w:rPr>
          <w:rFonts w:ascii="Times New Roman" w:cs="Times New Roman" w:eastAsia="Times New Roman" w:hAnsi="Times New Roman"/>
          <w:color w:val="2D3329"/>
          <w:sz w:val="22"/>
          <w:szCs w:val="22"/>
        </w:rPr>
        <w:t xml:space="preserve">IEEE/ACM International Conference on Automated Software Engineering (ASE), 2022</w:t>
      </w:r>
    </w:p>
    <w:p>
      <w:pPr>
        <w:pStyle w:val="Heading3"/>
        <w:spacing w:after="120" w:before="200" w:line="250"/>
      </w:pPr>
      <w:r>
        <w:rPr>
          <w:rFonts w:ascii="Times New Roman" w:cs="Times New Roman" w:eastAsia="Times New Roman" w:hAnsi="Times New Roman"/>
          <w:b/>
          <w:bCs/>
          <w:color w:val="2D3329"/>
          <w:sz w:val="24"/>
          <w:szCs w:val="24"/>
        </w:rPr>
        <w:t xml:space="preserve">Overview</w:t>
      </w:r>
    </w:p>
    <w:p>
      <w:pPr>
        <w:spacing w:after="120" w:before="120" w:line="250"/>
        <w:ind w:firstLine="0"/>
        <w:jc w:val="both"/>
      </w:pPr>
      <w:r>
        <w:rPr>
          <w:rFonts w:ascii="Times New Roman" w:cs="Times New Roman" w:eastAsia="Times New Roman" w:hAnsi="Times New Roman"/>
          <w:color w:val="2D3329"/>
          <w:sz w:val="22"/>
          <w:szCs w:val="22"/>
        </w:rPr>
        <w:t xml:space="preserve">GLITCH represents a significant advancement in security smell detection for IaC scripts by introducing a technology-agnostic framework that enables automated polyglot detection. The key innovation lies in transforming IaC scripts into an intermediate representation, upon which different security smell detectors can be defined uniformly across different IaC technologies.</w:t>
      </w:r>
    </w:p>
    <w:p>
      <w:pPr>
        <w:pStyle w:val="Heading3"/>
        <w:spacing w:after="120" w:before="200" w:line="250"/>
      </w:pPr>
      <w:r>
        <w:rPr>
          <w:rFonts w:ascii="Times New Roman" w:cs="Times New Roman" w:eastAsia="Times New Roman" w:hAnsi="Times New Roman"/>
          <w:b/>
          <w:bCs/>
          <w:color w:val="2D3329"/>
          <w:sz w:val="24"/>
          <w:szCs w:val="24"/>
        </w:rPr>
        <w:t xml:space="preserve">Key Findings</w:t>
      </w:r>
    </w:p>
    <w:p>
      <w:pPr>
        <w:spacing w:after="120" w:before="120" w:line="250"/>
        <w:ind w:firstLine="0"/>
        <w:jc w:val="both"/>
      </w:pPr>
      <w:r>
        <w:rPr>
          <w:rFonts w:ascii="Times New Roman" w:cs="Times New Roman" w:eastAsia="Times New Roman" w:hAnsi="Times New Roman"/>
          <w:color w:val="2D3329"/>
          <w:sz w:val="22"/>
          <w:szCs w:val="22"/>
        </w:rPr>
        <w:t xml:space="preserve">The large-scale empirical study analyzed security smells across three datasets containing 196,755 IaC scripts and 12,281,251 lines of code. All categories of security smells were identified across all datasets, with hard-coded secrets and suspicious comments being the most dominant security smells across Ansible, Chef, and Puppet scripts. The framework demonstrated higher precision and recall compared to state-of-the-art tools SLIC and SLAC.</w:t>
      </w:r>
    </w:p>
    <w:p>
      <w:pPr>
        <w:pStyle w:val="Heading3"/>
        <w:spacing w:after="120" w:before="200" w:line="250"/>
      </w:pPr>
      <w:r>
        <w:rPr>
          <w:rFonts w:ascii="Times New Roman" w:cs="Times New Roman" w:eastAsia="Times New Roman" w:hAnsi="Times New Roman"/>
          <w:b/>
          <w:bCs/>
          <w:color w:val="2D3329"/>
          <w:sz w:val="24"/>
          <w:szCs w:val="24"/>
        </w:rPr>
        <w:t xml:space="preserve">Models and Tools</w:t>
      </w:r>
    </w:p>
    <w:p>
      <w:pPr>
        <w:pStyle w:val="ListParagraph"/>
        <w:numPr>
          <w:ilvl w:val="0"/>
          <w:numId w:val="3"/>
        </w:numPr>
        <w:spacing w:after="60" w:before="60" w:line="250"/>
      </w:pPr>
      <w:r>
        <w:rPr>
          <w:rFonts w:ascii="Times New Roman" w:cs="Times New Roman" w:eastAsia="Times New Roman" w:hAnsi="Times New Roman"/>
          <w:color w:val="2D3329"/>
          <w:sz w:val="22"/>
          <w:szCs w:val="22"/>
        </w:rPr>
        <w:t xml:space="preserve">Framework: GLITCH (technology-agnostic intermediate representation)</w:t>
      </w:r>
    </w:p>
    <w:p>
      <w:pPr>
        <w:pStyle w:val="ListParagraph"/>
        <w:numPr>
          <w:ilvl w:val="0"/>
          <w:numId w:val="3"/>
        </w:numPr>
        <w:spacing w:after="60" w:before="60" w:line="250"/>
      </w:pPr>
      <w:r>
        <w:rPr>
          <w:rFonts w:ascii="Times New Roman" w:cs="Times New Roman" w:eastAsia="Times New Roman" w:hAnsi="Times New Roman"/>
          <w:color w:val="2D3329"/>
          <w:sz w:val="22"/>
          <w:szCs w:val="22"/>
        </w:rPr>
        <w:t xml:space="preserve">Supported Languages: Ansible, Chef, Puppet</w:t>
      </w:r>
    </w:p>
    <w:p>
      <w:pPr>
        <w:pStyle w:val="ListParagraph"/>
        <w:numPr>
          <w:ilvl w:val="0"/>
          <w:numId w:val="3"/>
        </w:numPr>
        <w:spacing w:after="60" w:before="60" w:line="250"/>
      </w:pPr>
      <w:r>
        <w:rPr>
          <w:rFonts w:ascii="Times New Roman" w:cs="Times New Roman" w:eastAsia="Times New Roman" w:hAnsi="Times New Roman"/>
          <w:color w:val="2D3329"/>
          <w:sz w:val="22"/>
          <w:szCs w:val="22"/>
        </w:rPr>
        <w:t xml:space="preserve">Detection Rules: 9 security smell categories</w:t>
      </w:r>
    </w:p>
    <w:p>
      <w:pPr>
        <w:pStyle w:val="ListParagraph"/>
        <w:numPr>
          <w:ilvl w:val="0"/>
          <w:numId w:val="3"/>
        </w:numPr>
        <w:spacing w:after="60" w:before="60" w:line="250"/>
      </w:pPr>
      <w:r>
        <w:rPr>
          <w:rFonts w:ascii="Times New Roman" w:cs="Times New Roman" w:eastAsia="Times New Roman" w:hAnsi="Times New Roman"/>
          <w:color w:val="2D3329"/>
          <w:sz w:val="22"/>
          <w:szCs w:val="22"/>
        </w:rPr>
        <w:t xml:space="preserve">Comparison Baselines: SLIC, SLAC</w:t>
      </w:r>
    </w:p>
    <w:p>
      <w:pPr>
        <w:pStyle w:val="Heading2"/>
        <w:spacing w:after="160" w:before="280" w:line="250"/>
      </w:pPr>
      <w:r>
        <w:rPr>
          <w:rFonts w:ascii="Times New Roman" w:cs="Times New Roman" w:eastAsia="Times New Roman" w:hAnsi="Times New Roman"/>
          <w:b/>
          <w:bCs/>
          <w:color w:val="4A5548"/>
          <w:sz w:val="28"/>
          <w:szCs w:val="28"/>
        </w:rPr>
        <w:t xml:space="preserve">2.3 Paper 3: DAppSCAN - Smart Contract Weakness Datasets (TSE 2024)</w:t>
      </w:r>
    </w:p>
    <w:p>
      <w:pPr>
        <w:spacing w:after="60" w:before="120" w:line="250"/>
      </w:pPr>
      <w:r>
        <w:rPr>
          <w:rFonts w:ascii="Times New Roman" w:cs="Times New Roman" w:eastAsia="Times New Roman" w:hAnsi="Times New Roman"/>
          <w:b/>
          <w:bCs/>
          <w:color w:val="2D3329"/>
          <w:sz w:val="22"/>
          <w:szCs w:val="22"/>
        </w:rPr>
        <w:t xml:space="preserve">Authors: </w:t>
      </w:r>
      <w:r>
        <w:rPr>
          <w:rFonts w:ascii="Times New Roman" w:cs="Times New Roman" w:eastAsia="Times New Roman" w:hAnsi="Times New Roman"/>
          <w:color w:val="2D3329"/>
          <w:sz w:val="22"/>
          <w:szCs w:val="22"/>
        </w:rPr>
        <w:t xml:space="preserve">Zibin Zheng, Jianzhong Su, Jiachi Chen, David Lo, Zhijie Zhong, Mingxi Ye</w:t>
      </w:r>
    </w:p>
    <w:p>
      <w:pPr>
        <w:spacing w:after="60" w:before="120" w:line="250"/>
      </w:pPr>
      <w:r>
        <w:rPr>
          <w:rFonts w:ascii="Times New Roman" w:cs="Times New Roman" w:eastAsia="Times New Roman" w:hAnsi="Times New Roman"/>
          <w:b/>
          <w:bCs/>
          <w:color w:val="2D3329"/>
          <w:sz w:val="22"/>
          <w:szCs w:val="22"/>
        </w:rPr>
        <w:t xml:space="preserve">Publication: </w:t>
      </w:r>
      <w:r>
        <w:rPr>
          <w:rFonts w:ascii="Times New Roman" w:cs="Times New Roman" w:eastAsia="Times New Roman" w:hAnsi="Times New Roman"/>
          <w:color w:val="2D3329"/>
          <w:sz w:val="22"/>
          <w:szCs w:val="22"/>
        </w:rPr>
        <w:t xml:space="preserve">IEEE Transactions on Software Engineering, June 2024</w:t>
      </w:r>
    </w:p>
    <w:p>
      <w:pPr>
        <w:pStyle w:val="Heading3"/>
        <w:spacing w:after="120" w:before="200" w:line="250"/>
      </w:pPr>
      <w:r>
        <w:rPr>
          <w:rFonts w:ascii="Times New Roman" w:cs="Times New Roman" w:eastAsia="Times New Roman" w:hAnsi="Times New Roman"/>
          <w:b/>
          <w:bCs/>
          <w:color w:val="2D3329"/>
          <w:sz w:val="24"/>
          <w:szCs w:val="24"/>
        </w:rPr>
        <w:t xml:space="preserve">Overview</w:t>
      </w:r>
    </w:p>
    <w:p>
      <w:pPr>
        <w:spacing w:after="120" w:before="120" w:line="250"/>
        <w:ind w:firstLine="0"/>
        <w:jc w:val="both"/>
      </w:pPr>
      <w:r>
        <w:rPr>
          <w:rFonts w:ascii="Times New Roman" w:cs="Times New Roman" w:eastAsia="Times New Roman" w:hAnsi="Times New Roman"/>
          <w:color w:val="2D3329"/>
          <w:sz w:val="22"/>
          <w:szCs w:val="22"/>
        </w:rPr>
        <w:t xml:space="preserve">DAppSCAN addresses the critical need for large-scale, unbiased, real-world datasets for smart contract weakness detection. The research involved 22 participants spending 44 person-months analyzing 1,199 open-source audit reports from 29 security teams, resulting in the identification of 9,154 weaknesses.</w:t>
      </w:r>
    </w:p>
    <w:p>
      <w:pPr>
        <w:pStyle w:val="Heading3"/>
        <w:spacing w:after="120" w:before="200" w:line="250"/>
      </w:pPr>
      <w:r>
        <w:rPr>
          <w:rFonts w:ascii="Times New Roman" w:cs="Times New Roman" w:eastAsia="Times New Roman" w:hAnsi="Times New Roman"/>
          <w:b/>
          <w:bCs/>
          <w:color w:val="2D3329"/>
          <w:sz w:val="24"/>
          <w:szCs w:val="24"/>
        </w:rPr>
        <w:t xml:space="preserve">Key Findings</w:t>
      </w:r>
    </w:p>
    <w:p>
      <w:pPr>
        <w:spacing w:after="120" w:before="120" w:line="250"/>
        <w:ind w:firstLine="0"/>
        <w:jc w:val="both"/>
      </w:pPr>
      <w:r>
        <w:rPr>
          <w:rFonts w:ascii="Times New Roman" w:cs="Times New Roman" w:eastAsia="Times New Roman" w:hAnsi="Times New Roman"/>
          <w:color w:val="2D3329"/>
          <w:sz w:val="22"/>
          <w:szCs w:val="22"/>
        </w:rPr>
        <w:t xml:space="preserve">Two distinct datasets were developed: DAPPSCAN-SOURCE comprising 39,904 Solidity files with 1,618 SWC weaknesses from 682 real-world DApps, and DAPPSCAN-BYTECODE containing 6,665 compiled smart contracts with 888 SWC weaknesses. The evaluation of state-of-the-art smart contract weakness detection tools revealed sub-par performance in terms of both effectiveness and success detection rate.</w:t>
      </w:r>
    </w:p>
    <w:p>
      <w:pPr>
        <w:pStyle w:val="Heading3"/>
        <w:spacing w:after="120" w:before="200" w:line="250"/>
      </w:pPr>
      <w:r>
        <w:rPr>
          <w:rFonts w:ascii="Times New Roman" w:cs="Times New Roman" w:eastAsia="Times New Roman" w:hAnsi="Times New Roman"/>
          <w:b/>
          <w:bCs/>
          <w:color w:val="2D3329"/>
          <w:sz w:val="24"/>
          <w:szCs w:val="24"/>
        </w:rPr>
        <w:t xml:space="preserve">Models and Tools</w:t>
      </w:r>
    </w:p>
    <w:p>
      <w:pPr>
        <w:pStyle w:val="ListParagraph"/>
        <w:numPr>
          <w:ilvl w:val="0"/>
          <w:numId w:val="4"/>
        </w:numPr>
        <w:spacing w:after="60" w:before="60" w:line="250"/>
      </w:pPr>
      <w:r>
        <w:rPr>
          <w:rFonts w:ascii="Times New Roman" w:cs="Times New Roman" w:eastAsia="Times New Roman" w:hAnsi="Times New Roman"/>
          <w:color w:val="2D3329"/>
          <w:sz w:val="22"/>
          <w:szCs w:val="22"/>
        </w:rPr>
        <w:t xml:space="preserve">Datasets: DAPPSCAN-SOURCE, DAPPSCAN-BYTECODE</w:t>
      </w:r>
    </w:p>
    <w:p>
      <w:pPr>
        <w:pStyle w:val="ListParagraph"/>
        <w:numPr>
          <w:ilvl w:val="0"/>
          <w:numId w:val="4"/>
        </w:numPr>
        <w:spacing w:after="60" w:before="60" w:line="250"/>
      </w:pPr>
      <w:r>
        <w:rPr>
          <w:rFonts w:ascii="Times New Roman" w:cs="Times New Roman" w:eastAsia="Times New Roman" w:hAnsi="Times New Roman"/>
          <w:color w:val="2D3329"/>
          <w:sz w:val="22"/>
          <w:szCs w:val="22"/>
        </w:rPr>
        <w:t xml:space="preserve">Classification: Smart Contract Weakness Classification (SWC) Registry</w:t>
      </w:r>
    </w:p>
    <w:p>
      <w:pPr>
        <w:pStyle w:val="ListParagraph"/>
        <w:numPr>
          <w:ilvl w:val="0"/>
          <w:numId w:val="4"/>
        </w:numPr>
        <w:spacing w:after="60" w:before="60" w:line="250"/>
      </w:pPr>
      <w:r>
        <w:rPr>
          <w:rFonts w:ascii="Times New Roman" w:cs="Times New Roman" w:eastAsia="Times New Roman" w:hAnsi="Times New Roman"/>
          <w:color w:val="2D3329"/>
          <w:sz w:val="22"/>
          <w:szCs w:val="22"/>
        </w:rPr>
        <w:t xml:space="preserve">Evaluated Tools: Mythril, Securify, Slither, Smartian, Sailfish, eTainter, Echidna</w:t>
      </w:r>
    </w:p>
    <w:p>
      <w:pPr>
        <w:pStyle w:val="ListParagraph"/>
        <w:numPr>
          <w:ilvl w:val="0"/>
          <w:numId w:val="4"/>
        </w:numPr>
        <w:spacing w:after="60" w:before="60" w:line="250"/>
      </w:pPr>
      <w:r>
        <w:rPr>
          <w:rFonts w:ascii="Times New Roman" w:cs="Times New Roman" w:eastAsia="Times New Roman" w:hAnsi="Times New Roman"/>
          <w:color w:val="2D3329"/>
          <w:sz w:val="22"/>
          <w:szCs w:val="22"/>
        </w:rPr>
        <w:t xml:space="preserve">Scale: 1,199 audit reports, 9,154 weaknesses</w:t>
      </w:r>
    </w:p>
    <w:p>
      <w:pPr>
        <w:pStyle w:val="Heading2"/>
        <w:spacing w:after="160" w:before="280" w:line="250"/>
      </w:pPr>
      <w:r>
        <w:rPr>
          <w:rFonts w:ascii="Times New Roman" w:cs="Times New Roman" w:eastAsia="Times New Roman" w:hAnsi="Times New Roman"/>
          <w:b/>
          <w:bCs/>
          <w:color w:val="4A5548"/>
          <w:sz w:val="28"/>
          <w:szCs w:val="28"/>
        </w:rPr>
        <w:t xml:space="preserve">2.4 Paper 4: Defect Taxonomy for IaC - A Replication Study (arXiv 2025)</w:t>
      </w:r>
    </w:p>
    <w:p>
      <w:pPr>
        <w:spacing w:after="60" w:before="120" w:line="250"/>
      </w:pPr>
      <w:r>
        <w:rPr>
          <w:rFonts w:ascii="Times New Roman" w:cs="Times New Roman" w:eastAsia="Times New Roman" w:hAnsi="Times New Roman"/>
          <w:b/>
          <w:bCs/>
          <w:color w:val="2D3329"/>
          <w:sz w:val="22"/>
          <w:szCs w:val="22"/>
        </w:rPr>
        <w:t xml:space="preserve">Authors: </w:t>
      </w:r>
      <w:r>
        <w:rPr>
          <w:rFonts w:ascii="Times New Roman" w:cs="Times New Roman" w:eastAsia="Times New Roman" w:hAnsi="Times New Roman"/>
          <w:color w:val="2D3329"/>
          <w:sz w:val="22"/>
          <w:szCs w:val="22"/>
        </w:rPr>
        <w:t xml:space="preserve">Wendell Oliveira, Filipe Paiva, Thiago Emmanuel Pereira, João Brunet</w:t>
      </w:r>
    </w:p>
    <w:p>
      <w:pPr>
        <w:spacing w:after="60" w:before="120" w:line="250"/>
      </w:pPr>
      <w:r>
        <w:rPr>
          <w:rFonts w:ascii="Times New Roman" w:cs="Times New Roman" w:eastAsia="Times New Roman" w:hAnsi="Times New Roman"/>
          <w:b/>
          <w:bCs/>
          <w:color w:val="2D3329"/>
          <w:sz w:val="22"/>
          <w:szCs w:val="22"/>
        </w:rPr>
        <w:t xml:space="preserve">Publication: </w:t>
      </w:r>
      <w:r>
        <w:rPr>
          <w:rFonts w:ascii="Times New Roman" w:cs="Times New Roman" w:eastAsia="Times New Roman" w:hAnsi="Times New Roman"/>
          <w:color w:val="2D3329"/>
          <w:sz w:val="22"/>
          <w:szCs w:val="22"/>
        </w:rPr>
        <w:t xml:space="preserve">arXiv:2505.01568v3, 2025</w:t>
      </w:r>
    </w:p>
    <w:p>
      <w:pPr>
        <w:pStyle w:val="Heading3"/>
        <w:spacing w:after="120" w:before="200" w:line="250"/>
      </w:pPr>
      <w:r>
        <w:rPr>
          <w:rFonts w:ascii="Times New Roman" w:cs="Times New Roman" w:eastAsia="Times New Roman" w:hAnsi="Times New Roman"/>
          <w:b/>
          <w:bCs/>
          <w:color w:val="2D3329"/>
          <w:sz w:val="24"/>
          <w:szCs w:val="24"/>
        </w:rPr>
        <w:t xml:space="preserve">Overview</w:t>
      </w:r>
    </w:p>
    <w:p>
      <w:pPr>
        <w:spacing w:after="120" w:before="120" w:line="250"/>
        <w:ind w:firstLine="0"/>
        <w:jc w:val="both"/>
      </w:pPr>
      <w:r>
        <w:rPr>
          <w:rFonts w:ascii="Times New Roman" w:cs="Times New Roman" w:eastAsia="Times New Roman" w:hAnsi="Times New Roman"/>
          <w:color w:val="2D3329"/>
          <w:sz w:val="22"/>
          <w:szCs w:val="22"/>
        </w:rPr>
        <w:t xml:space="preserve">This replication study validates the 'Gang of Eight' defect taxonomy proposed by Rahman et al. across Programming Language-based IaC (PL-IaC) tools including Terraform, Pulumi, and AWS CDK. The research extends the original study by examining both open-source and proprietary projects from VTEX and Nubank.</w:t>
      </w:r>
    </w:p>
    <w:p>
      <w:pPr>
        <w:pStyle w:val="Heading3"/>
        <w:spacing w:after="120" w:before="200" w:line="250"/>
      </w:pPr>
      <w:r>
        <w:rPr>
          <w:rFonts w:ascii="Times New Roman" w:cs="Times New Roman" w:eastAsia="Times New Roman" w:hAnsi="Times New Roman"/>
          <w:b/>
          <w:bCs/>
          <w:color w:val="2D3329"/>
          <w:sz w:val="24"/>
          <w:szCs w:val="24"/>
        </w:rPr>
        <w:t xml:space="preserve">Key Findings</w:t>
      </w:r>
    </w:p>
    <w:p>
      <w:pPr>
        <w:spacing w:after="120" w:before="120" w:line="250"/>
        <w:ind w:firstLine="0"/>
        <w:jc w:val="both"/>
      </w:pPr>
      <w:r>
        <w:rPr>
          <w:rFonts w:ascii="Times New Roman" w:cs="Times New Roman" w:eastAsia="Times New Roman" w:hAnsi="Times New Roman"/>
          <w:color w:val="2D3329"/>
          <w:sz w:val="22"/>
          <w:szCs w:val="22"/>
        </w:rPr>
        <w:t xml:space="preserve">The research confirmed the same eight defect categories identified in the original study: Conditional, Configuration Data, Dependency, Documentation, Idempotency, Security, Service, and Syntax. Configuration Data defects maintain high frequency in both open-source and proprietary codebases, appearing in over 30% of Nubank's PL-IaC programs.</w:t>
      </w:r>
    </w:p>
    <w:p>
      <w:pPr>
        <w:pStyle w:val="Heading2"/>
        <w:spacing w:after="160" w:before="280" w:line="250"/>
      </w:pPr>
      <w:r>
        <w:rPr>
          <w:rFonts w:ascii="Times New Roman" w:cs="Times New Roman" w:eastAsia="Times New Roman" w:hAnsi="Times New Roman"/>
          <w:b/>
          <w:bCs/>
          <w:color w:val="4A5548"/>
          <w:sz w:val="28"/>
          <w:szCs w:val="28"/>
        </w:rPr>
        <w:t xml:space="preserve">2.5 Paper 5: Forge - LLM-Driven Vulnerability Dataset Construction (ICSE 2026)</w:t>
      </w:r>
    </w:p>
    <w:p>
      <w:pPr>
        <w:spacing w:after="60" w:before="120" w:line="250"/>
      </w:pPr>
      <w:r>
        <w:rPr>
          <w:rFonts w:ascii="Times New Roman" w:cs="Times New Roman" w:eastAsia="Times New Roman" w:hAnsi="Times New Roman"/>
          <w:b/>
          <w:bCs/>
          <w:color w:val="2D3329"/>
          <w:sz w:val="22"/>
          <w:szCs w:val="22"/>
        </w:rPr>
        <w:t xml:space="preserve">Authors: </w:t>
      </w:r>
      <w:r>
        <w:rPr>
          <w:rFonts w:ascii="Times New Roman" w:cs="Times New Roman" w:eastAsia="Times New Roman" w:hAnsi="Times New Roman"/>
          <w:color w:val="2D3329"/>
          <w:sz w:val="22"/>
          <w:szCs w:val="22"/>
        </w:rPr>
        <w:t xml:space="preserve">Jiachi Chen, Yiming Shen, Jiashuo Zhang, et al.</w:t>
      </w:r>
    </w:p>
    <w:p>
      <w:pPr>
        <w:spacing w:after="60" w:before="120" w:line="250"/>
      </w:pPr>
      <w:r>
        <w:rPr>
          <w:rFonts w:ascii="Times New Roman" w:cs="Times New Roman" w:eastAsia="Times New Roman" w:hAnsi="Times New Roman"/>
          <w:b/>
          <w:bCs/>
          <w:color w:val="2D3329"/>
          <w:sz w:val="22"/>
          <w:szCs w:val="22"/>
        </w:rPr>
        <w:t xml:space="preserve">Publication: </w:t>
      </w:r>
      <w:r>
        <w:rPr>
          <w:rFonts w:ascii="Times New Roman" w:cs="Times New Roman" w:eastAsia="Times New Roman" w:hAnsi="Times New Roman"/>
          <w:color w:val="2D3329"/>
          <w:sz w:val="22"/>
          <w:szCs w:val="22"/>
        </w:rPr>
        <w:t xml:space="preserve">IEEE/ACM International Conference on Software Engineering (ICSE), 2026</w:t>
      </w:r>
    </w:p>
    <w:p>
      <w:pPr>
        <w:pStyle w:val="Heading3"/>
        <w:spacing w:after="120" w:before="200" w:line="250"/>
      </w:pPr>
      <w:r>
        <w:rPr>
          <w:rFonts w:ascii="Times New Roman" w:cs="Times New Roman" w:eastAsia="Times New Roman" w:hAnsi="Times New Roman"/>
          <w:b/>
          <w:bCs/>
          <w:color w:val="2D3329"/>
          <w:sz w:val="24"/>
          <w:szCs w:val="24"/>
        </w:rPr>
        <w:t xml:space="preserve">Overview</w:t>
      </w:r>
    </w:p>
    <w:p>
      <w:pPr>
        <w:spacing w:after="120" w:before="120" w:line="250"/>
        <w:ind w:firstLine="0"/>
        <w:jc w:val="both"/>
      </w:pPr>
      <w:r>
        <w:rPr>
          <w:rFonts w:ascii="Times New Roman" w:cs="Times New Roman" w:eastAsia="Times New Roman" w:hAnsi="Times New Roman"/>
          <w:color w:val="2D3329"/>
          <w:sz w:val="22"/>
          <w:szCs w:val="22"/>
        </w:rPr>
        <w:t xml:space="preserve">Forge introduces the first automated framework for constructing comprehensive smart contract vulnerability datasets using Large Language Models. The framework leverages an LLM-driven pipeline to extract high-quality vulnerabilities from real-world audit reports and classify them according to the Common Weakness Enumeration (CWE).</w:t>
      </w:r>
    </w:p>
    <w:p>
      <w:pPr>
        <w:pStyle w:val="Heading3"/>
        <w:spacing w:after="120" w:before="200" w:line="250"/>
      </w:pPr>
      <w:r>
        <w:rPr>
          <w:rFonts w:ascii="Times New Roman" w:cs="Times New Roman" w:eastAsia="Times New Roman" w:hAnsi="Times New Roman"/>
          <w:b/>
          <w:bCs/>
          <w:color w:val="2D3329"/>
          <w:sz w:val="24"/>
          <w:szCs w:val="24"/>
        </w:rPr>
        <w:t xml:space="preserve">Key Findings</w:t>
      </w:r>
    </w:p>
    <w:p>
      <w:pPr>
        <w:spacing w:after="120" w:before="120" w:line="250"/>
        <w:ind w:firstLine="0"/>
        <w:jc w:val="both"/>
      </w:pPr>
      <w:r>
        <w:rPr>
          <w:rFonts w:ascii="Times New Roman" w:cs="Times New Roman" w:eastAsia="Times New Roman" w:hAnsi="Times New Roman"/>
          <w:color w:val="2D3329"/>
          <w:sz w:val="22"/>
          <w:szCs w:val="22"/>
        </w:rPr>
        <w:t xml:space="preserve">Running Forge on 6,454 real-world audit reports generated a dataset comprising 81,390 Solidity files and 27,497 vulnerability findings across 296 CWE categories. The framework achieved a Krippendorff's alpha coefficient of 0.87, indicating substantial agreement between Forge and human experts in CWE classification.</w:t>
      </w:r>
    </w:p>
    <w:p>
      <w:pPr>
        <w:pStyle w:val="Heading2"/>
        <w:spacing w:after="160" w:before="280" w:line="250"/>
      </w:pPr>
      <w:r>
        <w:rPr>
          <w:rFonts w:ascii="Times New Roman" w:cs="Times New Roman" w:eastAsia="Times New Roman" w:hAnsi="Times New Roman"/>
          <w:b/>
          <w:bCs/>
          <w:color w:val="4A5548"/>
          <w:sz w:val="28"/>
          <w:szCs w:val="28"/>
        </w:rPr>
        <w:t xml:space="preserve">2.6 Paper 6: LLMs vs Static Code Analysis Tools - A Benchmark (IEEE Access 2025)</w:t>
      </w:r>
    </w:p>
    <w:p>
      <w:pPr>
        <w:spacing w:after="60" w:before="120" w:line="250"/>
      </w:pPr>
      <w:r>
        <w:rPr>
          <w:rFonts w:ascii="Times New Roman" w:cs="Times New Roman" w:eastAsia="Times New Roman" w:hAnsi="Times New Roman"/>
          <w:b/>
          <w:bCs/>
          <w:color w:val="2D3329"/>
          <w:sz w:val="22"/>
          <w:szCs w:val="22"/>
        </w:rPr>
        <w:t xml:space="preserve">Authors: </w:t>
      </w:r>
      <w:r>
        <w:rPr>
          <w:rFonts w:ascii="Times New Roman" w:cs="Times New Roman" w:eastAsia="Times New Roman" w:hAnsi="Times New Roman"/>
          <w:color w:val="2D3329"/>
          <w:sz w:val="22"/>
          <w:szCs w:val="22"/>
        </w:rPr>
        <w:t xml:space="preserve">Damian Gnieciak, Tomasz Szandala</w:t>
      </w:r>
    </w:p>
    <w:p>
      <w:pPr>
        <w:spacing w:after="60" w:before="120" w:line="250"/>
      </w:pPr>
      <w:r>
        <w:rPr>
          <w:rFonts w:ascii="Times New Roman" w:cs="Times New Roman" w:eastAsia="Times New Roman" w:hAnsi="Times New Roman"/>
          <w:b/>
          <w:bCs/>
          <w:color w:val="2D3329"/>
          <w:sz w:val="22"/>
          <w:szCs w:val="22"/>
        </w:rPr>
        <w:t xml:space="preserve">Publication: </w:t>
      </w:r>
      <w:r>
        <w:rPr>
          <w:rFonts w:ascii="Times New Roman" w:cs="Times New Roman" w:eastAsia="Times New Roman" w:hAnsi="Times New Roman"/>
          <w:color w:val="2D3329"/>
          <w:sz w:val="22"/>
          <w:szCs w:val="22"/>
        </w:rPr>
        <w:t xml:space="preserve">IEEE Access, 2025</w:t>
      </w:r>
    </w:p>
    <w:p>
      <w:pPr>
        <w:pStyle w:val="Heading3"/>
        <w:spacing w:after="120" w:before="200" w:line="250"/>
      </w:pPr>
      <w:r>
        <w:rPr>
          <w:rFonts w:ascii="Times New Roman" w:cs="Times New Roman" w:eastAsia="Times New Roman" w:hAnsi="Times New Roman"/>
          <w:b/>
          <w:bCs/>
          <w:color w:val="2D3329"/>
          <w:sz w:val="24"/>
          <w:szCs w:val="24"/>
        </w:rPr>
        <w:t xml:space="preserve">Overview</w:t>
      </w:r>
    </w:p>
    <w:p>
      <w:pPr>
        <w:spacing w:after="120" w:before="120" w:line="250"/>
        <w:ind w:firstLine="0"/>
        <w:jc w:val="both"/>
      </w:pPr>
      <w:r>
        <w:rPr>
          <w:rFonts w:ascii="Times New Roman" w:cs="Times New Roman" w:eastAsia="Times New Roman" w:hAnsi="Times New Roman"/>
          <w:color w:val="2D3329"/>
          <w:sz w:val="22"/>
          <w:szCs w:val="22"/>
        </w:rPr>
        <w:t xml:space="preserve">This study provides a systematic comparison between three industry-standard rule-based static code-analysis tools (SonarQube, CodeQL, and Snyk Code) and three state-of-the-art large language models (GPT-4.1, Mistral Large, and DeepSeek V3) for vulnerability detection.</w:t>
      </w:r>
    </w:p>
    <w:p>
      <w:pPr>
        <w:pStyle w:val="Heading3"/>
        <w:spacing w:after="120" w:before="200" w:line="250"/>
      </w:pPr>
      <w:r>
        <w:rPr>
          <w:rFonts w:ascii="Times New Roman" w:cs="Times New Roman" w:eastAsia="Times New Roman" w:hAnsi="Times New Roman"/>
          <w:b/>
          <w:bCs/>
          <w:color w:val="2D3329"/>
          <w:sz w:val="24"/>
          <w:szCs w:val="24"/>
        </w:rPr>
        <w:t xml:space="preserve">Key Findings</w:t>
      </w:r>
    </w:p>
    <w:p>
      <w:pPr>
        <w:spacing w:after="120" w:before="120" w:line="250"/>
        <w:ind w:firstLine="0"/>
        <w:jc w:val="both"/>
      </w:pPr>
      <w:r>
        <w:rPr>
          <w:rFonts w:ascii="Times New Roman" w:cs="Times New Roman" w:eastAsia="Times New Roman" w:hAnsi="Times New Roman"/>
          <w:color w:val="2D3329"/>
          <w:sz w:val="22"/>
          <w:szCs w:val="22"/>
        </w:rPr>
        <w:t xml:space="preserve">The language-based scanners achieved higher mean F-1 scores (0.797, 0.753, and 0.750 for LLMs) than their static counterparts (0.260, 0.386, and 0.546). LLMs' advantage originates from superior recall, confirming their ability to reason across broader code contexts. However, LLMs exhibit higher false-positive ratios and struggle with precise issue localization.</w:t>
      </w:r>
    </w:p>
    <w:p>
      <w:pPr>
        <w:pStyle w:val="Heading2"/>
        <w:spacing w:after="160" w:before="280" w:line="250"/>
      </w:pPr>
      <w:r>
        <w:rPr>
          <w:rFonts w:ascii="Times New Roman" w:cs="Times New Roman" w:eastAsia="Times New Roman" w:hAnsi="Times New Roman"/>
          <w:b/>
          <w:bCs/>
          <w:color w:val="4A5548"/>
          <w:sz w:val="28"/>
          <w:szCs w:val="28"/>
        </w:rPr>
        <w:t xml:space="preserve">2.7 Paper 7: Security Smells Taxonomy Update Beyond Seven Sins (2025)</w:t>
      </w:r>
    </w:p>
    <w:p>
      <w:pPr>
        <w:spacing w:after="60" w:before="120" w:line="250"/>
      </w:pPr>
      <w:r>
        <w:rPr>
          <w:rFonts w:ascii="Times New Roman" w:cs="Times New Roman" w:eastAsia="Times New Roman" w:hAnsi="Times New Roman"/>
          <w:b/>
          <w:bCs/>
          <w:color w:val="2D3329"/>
          <w:sz w:val="22"/>
          <w:szCs w:val="22"/>
        </w:rPr>
        <w:t xml:space="preserve">Authors: </w:t>
      </w:r>
      <w:r>
        <w:rPr>
          <w:rFonts w:ascii="Times New Roman" w:cs="Times New Roman" w:eastAsia="Times New Roman" w:hAnsi="Times New Roman"/>
          <w:color w:val="2D3329"/>
          <w:sz w:val="22"/>
          <w:szCs w:val="22"/>
        </w:rPr>
        <w:t xml:space="preserve">Aicha War, Serge L.B. Nikiema, Jordan Samhi, Jacques Klein, Tegawendé F. Bissyandé</w:t>
      </w:r>
    </w:p>
    <w:p>
      <w:pPr>
        <w:spacing w:after="60" w:before="120" w:line="250"/>
      </w:pPr>
      <w:r>
        <w:rPr>
          <w:rFonts w:ascii="Times New Roman" w:cs="Times New Roman" w:eastAsia="Times New Roman" w:hAnsi="Times New Roman"/>
          <w:b/>
          <w:bCs/>
          <w:color w:val="2D3329"/>
          <w:sz w:val="22"/>
          <w:szCs w:val="22"/>
        </w:rPr>
        <w:t xml:space="preserve">Publication: </w:t>
      </w:r>
      <w:r>
        <w:rPr>
          <w:rFonts w:ascii="Times New Roman" w:cs="Times New Roman" w:eastAsia="Times New Roman" w:hAnsi="Times New Roman"/>
          <w:color w:val="2D3329"/>
          <w:sz w:val="22"/>
          <w:szCs w:val="22"/>
        </w:rPr>
        <w:t xml:space="preserve">arXiv:2509.18761v1, 2025</w:t>
      </w:r>
    </w:p>
    <w:p>
      <w:pPr>
        <w:pStyle w:val="Heading3"/>
        <w:spacing w:after="120" w:before="200" w:line="250"/>
      </w:pPr>
      <w:r>
        <w:rPr>
          <w:rFonts w:ascii="Times New Roman" w:cs="Times New Roman" w:eastAsia="Times New Roman" w:hAnsi="Times New Roman"/>
          <w:b/>
          <w:bCs/>
          <w:color w:val="2D3329"/>
          <w:sz w:val="24"/>
          <w:szCs w:val="24"/>
        </w:rPr>
        <w:t xml:space="preserve">Overview</w:t>
      </w:r>
    </w:p>
    <w:p>
      <w:pPr>
        <w:spacing w:after="120" w:before="120" w:line="250"/>
        <w:ind w:firstLine="0"/>
        <w:jc w:val="both"/>
      </w:pPr>
      <w:r>
        <w:rPr>
          <w:rFonts w:ascii="Times New Roman" w:cs="Times New Roman" w:eastAsia="Times New Roman" w:hAnsi="Times New Roman"/>
          <w:color w:val="2D3329"/>
          <w:sz w:val="22"/>
          <w:szCs w:val="22"/>
        </w:rPr>
        <w:t xml:space="preserve">This paper revisits the security smell taxonomy by extending the study to seven popular IaC tools (Ansible, Terraform, Chef, Puppet, Pulumi, Saltstack, and Vagrant) and incorporating automation through LLMs. The study yields a comprehensive taxonomy of 62 security smell categories, significantly expanding beyond the previously known seven.</w:t>
      </w:r>
    </w:p>
    <w:p>
      <w:pPr>
        <w:pStyle w:val="Heading3"/>
        <w:spacing w:after="120" w:before="200" w:line="250"/>
      </w:pPr>
      <w:r>
        <w:rPr>
          <w:rFonts w:ascii="Times New Roman" w:cs="Times New Roman" w:eastAsia="Times New Roman" w:hAnsi="Times New Roman"/>
          <w:b/>
          <w:bCs/>
          <w:color w:val="2D3329"/>
          <w:sz w:val="24"/>
          <w:szCs w:val="24"/>
        </w:rPr>
        <w:t xml:space="preserve">Key Findings</w:t>
      </w:r>
    </w:p>
    <w:p>
      <w:pPr>
        <w:spacing w:after="120" w:before="120" w:line="250"/>
        <w:ind w:firstLine="0"/>
        <w:jc w:val="both"/>
      </w:pPr>
      <w:r>
        <w:rPr>
          <w:rFonts w:ascii="Times New Roman" w:cs="Times New Roman" w:eastAsia="Times New Roman" w:hAnsi="Times New Roman"/>
          <w:color w:val="2D3329"/>
          <w:sz w:val="22"/>
          <w:szCs w:val="22"/>
        </w:rPr>
        <w:t xml:space="preserve">The top 10 most represented security smell categories include Insecure Configuration Management, Insecure Dependency Management, Insecure Input Handling, Outdated Dependencies, Path Traversal, Command Injection, Code Injection, Outdated Software Version, Inadequate Naming Convention, and Sensitive Information Exposure. The study demonstrates that security issues persist for extended periods, likely due to inadequate detection and mitigation tools.</w:t>
      </w:r>
    </w:p>
    <w:p>
      <w:pPr>
        <w:pStyle w:val="Heading2"/>
        <w:spacing w:after="160" w:before="280" w:line="250"/>
      </w:pPr>
      <w:r>
        <w:rPr>
          <w:rFonts w:ascii="Times New Roman" w:cs="Times New Roman" w:eastAsia="Times New Roman" w:hAnsi="Times New Roman"/>
          <w:b/>
          <w:bCs/>
          <w:color w:val="4A5548"/>
          <w:sz w:val="28"/>
          <w:szCs w:val="28"/>
        </w:rPr>
        <w:t xml:space="preserve">2.8 Paper 8: Semantics-Aware Detection of Security Smells in IaC (2025)</w:t>
      </w:r>
    </w:p>
    <w:p>
      <w:pPr>
        <w:spacing w:after="60" w:before="120" w:line="250"/>
      </w:pPr>
      <w:r>
        <w:rPr>
          <w:rFonts w:ascii="Times New Roman" w:cs="Times New Roman" w:eastAsia="Times New Roman" w:hAnsi="Times New Roman"/>
          <w:b/>
          <w:bCs/>
          <w:color w:val="2D3329"/>
          <w:sz w:val="22"/>
          <w:szCs w:val="22"/>
        </w:rPr>
        <w:t xml:space="preserve">Authors: </w:t>
      </w:r>
      <w:r>
        <w:rPr>
          <w:rFonts w:ascii="Times New Roman" w:cs="Times New Roman" w:eastAsia="Times New Roman" w:hAnsi="Times New Roman"/>
          <w:color w:val="2D3329"/>
          <w:sz w:val="22"/>
          <w:szCs w:val="22"/>
        </w:rPr>
        <w:t xml:space="preserve">Aicha War, Adnan A. Rawass, Abdoul K. Kabore, Jordan Samhi, Jacques Klein, Tegawendé F. Bissyandé</w:t>
      </w:r>
    </w:p>
    <w:p>
      <w:pPr>
        <w:spacing w:after="60" w:before="120" w:line="250"/>
      </w:pPr>
      <w:r>
        <w:rPr>
          <w:rFonts w:ascii="Times New Roman" w:cs="Times New Roman" w:eastAsia="Times New Roman" w:hAnsi="Times New Roman"/>
          <w:b/>
          <w:bCs/>
          <w:color w:val="2D3329"/>
          <w:sz w:val="22"/>
          <w:szCs w:val="22"/>
        </w:rPr>
        <w:t xml:space="preserve">Publication: </w:t>
      </w:r>
      <w:r>
        <w:rPr>
          <w:rFonts w:ascii="Times New Roman" w:cs="Times New Roman" w:eastAsia="Times New Roman" w:hAnsi="Times New Roman"/>
          <w:color w:val="2D3329"/>
          <w:sz w:val="22"/>
          <w:szCs w:val="22"/>
        </w:rPr>
        <w:t xml:space="preserve">arXiv:2509.18790v1, 2025</w:t>
      </w:r>
    </w:p>
    <w:p>
      <w:pPr>
        <w:pStyle w:val="Heading3"/>
        <w:spacing w:after="120" w:before="200" w:line="250"/>
      </w:pPr>
      <w:r>
        <w:rPr>
          <w:rFonts w:ascii="Times New Roman" w:cs="Times New Roman" w:eastAsia="Times New Roman" w:hAnsi="Times New Roman"/>
          <w:b/>
          <w:bCs/>
          <w:color w:val="2D3329"/>
          <w:sz w:val="24"/>
          <w:szCs w:val="24"/>
        </w:rPr>
        <w:t xml:space="preserve">Overview</w:t>
      </w:r>
    </w:p>
    <w:p>
      <w:pPr>
        <w:spacing w:after="120" w:before="120" w:line="250"/>
        <w:ind w:firstLine="0"/>
        <w:jc w:val="both"/>
      </w:pPr>
      <w:r>
        <w:rPr>
          <w:rFonts w:ascii="Times New Roman" w:cs="Times New Roman" w:eastAsia="Times New Roman" w:hAnsi="Times New Roman"/>
          <w:color w:val="2D3329"/>
          <w:sz w:val="22"/>
          <w:szCs w:val="22"/>
        </w:rPr>
        <w:t xml:space="preserve">This work introduces a novel approach that enhances static analysis with semantic understanding by jointly leveraging natural language and code representations. The method builds on two complementary ML models: CodeBERT to capture semantics across code and text, and LongFormer to represent long IaC scripts without losing contextual information.</w:t>
      </w:r>
    </w:p>
    <w:p>
      <w:pPr>
        <w:pStyle w:val="Heading3"/>
        <w:spacing w:after="120" w:before="200" w:line="250"/>
      </w:pPr>
      <w:r>
        <w:rPr>
          <w:rFonts w:ascii="Times New Roman" w:cs="Times New Roman" w:eastAsia="Times New Roman" w:hAnsi="Times New Roman"/>
          <w:b/>
          <w:bCs/>
          <w:color w:val="2D3329"/>
          <w:sz w:val="24"/>
          <w:szCs w:val="24"/>
        </w:rPr>
        <w:t xml:space="preserve">Key Findings</w:t>
      </w:r>
    </w:p>
    <w:p>
      <w:pPr>
        <w:spacing w:after="120" w:before="120" w:line="250"/>
        <w:ind w:firstLine="0"/>
        <w:jc w:val="both"/>
      </w:pPr>
      <w:r>
        <w:rPr>
          <w:rFonts w:ascii="Times New Roman" w:cs="Times New Roman" w:eastAsia="Times New Roman" w:hAnsi="Times New Roman"/>
          <w:color w:val="2D3329"/>
          <w:sz w:val="22"/>
          <w:szCs w:val="22"/>
        </w:rPr>
        <w:t xml:space="preserve">Semantic enrichment substantially improves detection, raising precision and recall from 0.46 and 0.79 to 0.92 and 0.88 on Ansible, and from 0.55 and 0.97 to 0.87 and 0.75 on Puppet, respectively. The ablation study confirmed that removing semantic context significantly degrades model performance.</w:t>
      </w:r>
    </w:p>
    <w:p>
      <w:pPr>
        <w:pStyle w:val="Heading2"/>
        <w:spacing w:after="160" w:before="280" w:line="250"/>
      </w:pPr>
      <w:r>
        <w:rPr>
          <w:rFonts w:ascii="Times New Roman" w:cs="Times New Roman" w:eastAsia="Times New Roman" w:hAnsi="Times New Roman"/>
          <w:b/>
          <w:bCs/>
          <w:color w:val="4A5548"/>
          <w:sz w:val="28"/>
          <w:szCs w:val="28"/>
        </w:rPr>
        <w:t xml:space="preserve">2.9 Paper 9: GenSIaC - Security-Aware IaC Generation with LLMs (2025)</w:t>
      </w:r>
    </w:p>
    <w:p>
      <w:pPr>
        <w:spacing w:after="60" w:before="120" w:line="250"/>
      </w:pPr>
      <w:r>
        <w:rPr>
          <w:rFonts w:ascii="Times New Roman" w:cs="Times New Roman" w:eastAsia="Times New Roman" w:hAnsi="Times New Roman"/>
          <w:b/>
          <w:bCs/>
          <w:color w:val="2D3329"/>
          <w:sz w:val="22"/>
          <w:szCs w:val="22"/>
        </w:rPr>
        <w:t xml:space="preserve">Authors: </w:t>
      </w:r>
      <w:r>
        <w:rPr>
          <w:rFonts w:ascii="Times New Roman" w:cs="Times New Roman" w:eastAsia="Times New Roman" w:hAnsi="Times New Roman"/>
          <w:color w:val="2D3329"/>
          <w:sz w:val="22"/>
          <w:szCs w:val="22"/>
        </w:rPr>
        <w:t xml:space="preserve">Yikun Li, Matteo Grella, Daniel Nahmias, et al.</w:t>
      </w:r>
    </w:p>
    <w:p>
      <w:pPr>
        <w:spacing w:after="60" w:before="120" w:line="250"/>
      </w:pPr>
      <w:r>
        <w:rPr>
          <w:rFonts w:ascii="Times New Roman" w:cs="Times New Roman" w:eastAsia="Times New Roman" w:hAnsi="Times New Roman"/>
          <w:b/>
          <w:bCs/>
          <w:color w:val="2D3329"/>
          <w:sz w:val="22"/>
          <w:szCs w:val="22"/>
        </w:rPr>
        <w:t xml:space="preserve">Publication: </w:t>
      </w:r>
      <w:r>
        <w:rPr>
          <w:rFonts w:ascii="Times New Roman" w:cs="Times New Roman" w:eastAsia="Times New Roman" w:hAnsi="Times New Roman"/>
          <w:color w:val="2D3329"/>
          <w:sz w:val="22"/>
          <w:szCs w:val="22"/>
        </w:rPr>
        <w:t xml:space="preserve">arXiv:2511.12385v1, 2025</w:t>
      </w:r>
    </w:p>
    <w:p>
      <w:pPr>
        <w:pStyle w:val="Heading3"/>
        <w:spacing w:after="120" w:before="200" w:line="250"/>
      </w:pPr>
      <w:r>
        <w:rPr>
          <w:rFonts w:ascii="Times New Roman" w:cs="Times New Roman" w:eastAsia="Times New Roman" w:hAnsi="Times New Roman"/>
          <w:b/>
          <w:bCs/>
          <w:color w:val="2D3329"/>
          <w:sz w:val="24"/>
          <w:szCs w:val="24"/>
        </w:rPr>
        <w:t xml:space="preserve">Overview</w:t>
      </w:r>
    </w:p>
    <w:p>
      <w:pPr>
        <w:spacing w:after="120" w:before="120" w:line="250"/>
        <w:ind w:firstLine="0"/>
        <w:jc w:val="both"/>
      </w:pPr>
      <w:r>
        <w:rPr>
          <w:rFonts w:ascii="Times New Roman" w:cs="Times New Roman" w:eastAsia="Times New Roman" w:hAnsi="Times New Roman"/>
          <w:color w:val="2D3329"/>
          <w:sz w:val="22"/>
          <w:szCs w:val="22"/>
        </w:rPr>
        <w:t xml:space="preserve">GenSIaC investigates the potential of Large Language Models in generating security-aware IaC code. The paper proposes an instruction fine-tuning dataset designed to improve LLMs' ability to recognize potential security weaknesses during code generation and inspection.</w:t>
      </w:r>
    </w:p>
    <w:p>
      <w:pPr>
        <w:pStyle w:val="Heading3"/>
        <w:spacing w:after="120" w:before="200" w:line="250"/>
      </w:pPr>
      <w:r>
        <w:rPr>
          <w:rFonts w:ascii="Times New Roman" w:cs="Times New Roman" w:eastAsia="Times New Roman" w:hAnsi="Times New Roman"/>
          <w:b/>
          <w:bCs/>
          <w:color w:val="2D3329"/>
          <w:sz w:val="24"/>
          <w:szCs w:val="24"/>
        </w:rPr>
        <w:t xml:space="preserve">Key Findings</w:t>
      </w:r>
    </w:p>
    <w:p>
      <w:pPr>
        <w:spacing w:after="120" w:before="120" w:line="250"/>
        <w:ind w:firstLine="0"/>
        <w:jc w:val="both"/>
      </w:pPr>
      <w:r>
        <w:rPr>
          <w:rFonts w:ascii="Times New Roman" w:cs="Times New Roman" w:eastAsia="Times New Roman" w:hAnsi="Times New Roman"/>
          <w:color w:val="2D3329"/>
          <w:sz w:val="22"/>
          <w:szCs w:val="22"/>
        </w:rPr>
        <w:t xml:space="preserve">Code-specific LLMs showed poor F1-scores (0.000-0.303) for security weakness recognition, while open-source general-purpose models (Vicuna and Llama2) performed better (0.354-0.495). After fine-tuning CodeLlama with GenSIaC, F1-scores improved from 0.276-0.303 to 0.771-0.858, surpassing larger LLMs without fine-tuning.</w:t>
      </w:r>
    </w:p>
    <w:p>
      <w:pPr>
        <w:pStyle w:val="Heading2"/>
        <w:spacing w:after="160" w:before="280" w:line="250"/>
      </w:pPr>
      <w:r>
        <w:rPr>
          <w:rFonts w:ascii="Times New Roman" w:cs="Times New Roman" w:eastAsia="Times New Roman" w:hAnsi="Times New Roman"/>
          <w:b/>
          <w:bCs/>
          <w:color w:val="4A5548"/>
          <w:sz w:val="28"/>
          <w:szCs w:val="28"/>
        </w:rPr>
        <w:t xml:space="preserve">2.10 Paper 10: Agent READMEs - Context Files for Agentic Coding (2025)</w:t>
      </w:r>
    </w:p>
    <w:p>
      <w:pPr>
        <w:spacing w:after="60" w:before="120" w:line="250"/>
      </w:pPr>
      <w:r>
        <w:rPr>
          <w:rFonts w:ascii="Times New Roman" w:cs="Times New Roman" w:eastAsia="Times New Roman" w:hAnsi="Times New Roman"/>
          <w:b/>
          <w:bCs/>
          <w:color w:val="2D3329"/>
          <w:sz w:val="22"/>
          <w:szCs w:val="22"/>
        </w:rPr>
        <w:t xml:space="preserve">Authors: </w:t>
      </w:r>
      <w:r>
        <w:rPr>
          <w:rFonts w:ascii="Times New Roman" w:cs="Times New Roman" w:eastAsia="Times New Roman" w:hAnsi="Times New Roman"/>
          <w:color w:val="2D3329"/>
          <w:sz w:val="22"/>
          <w:szCs w:val="22"/>
        </w:rPr>
        <w:t xml:space="preserve">Worawalan Chatlatanagulchai, Hao Li, Yutaro Kashiwa, et al.</w:t>
      </w:r>
    </w:p>
    <w:p>
      <w:pPr>
        <w:spacing w:after="60" w:before="120" w:line="250"/>
      </w:pPr>
      <w:r>
        <w:rPr>
          <w:rFonts w:ascii="Times New Roman" w:cs="Times New Roman" w:eastAsia="Times New Roman" w:hAnsi="Times New Roman"/>
          <w:b/>
          <w:bCs/>
          <w:color w:val="2D3329"/>
          <w:sz w:val="22"/>
          <w:szCs w:val="22"/>
        </w:rPr>
        <w:t xml:space="preserve">Publication: </w:t>
      </w:r>
      <w:r>
        <w:rPr>
          <w:rFonts w:ascii="Times New Roman" w:cs="Times New Roman" w:eastAsia="Times New Roman" w:hAnsi="Times New Roman"/>
          <w:color w:val="2D3329"/>
          <w:sz w:val="22"/>
          <w:szCs w:val="22"/>
        </w:rPr>
        <w:t xml:space="preserve">arXiv:2511.12884v1, 2025</w:t>
      </w:r>
    </w:p>
    <w:p>
      <w:pPr>
        <w:pStyle w:val="Heading3"/>
        <w:spacing w:after="120" w:before="200" w:line="250"/>
      </w:pPr>
      <w:r>
        <w:rPr>
          <w:rFonts w:ascii="Times New Roman" w:cs="Times New Roman" w:eastAsia="Times New Roman" w:hAnsi="Times New Roman"/>
          <w:b/>
          <w:bCs/>
          <w:color w:val="2D3329"/>
          <w:sz w:val="24"/>
          <w:szCs w:val="24"/>
        </w:rPr>
        <w:t xml:space="preserve">Overview</w:t>
      </w:r>
    </w:p>
    <w:p>
      <w:pPr>
        <w:spacing w:after="120" w:before="120" w:line="250"/>
        <w:ind w:firstLine="0"/>
        <w:jc w:val="both"/>
      </w:pPr>
      <w:r>
        <w:rPr>
          <w:rFonts w:ascii="Times New Roman" w:cs="Times New Roman" w:eastAsia="Times New Roman" w:hAnsi="Times New Roman"/>
          <w:color w:val="2D3329"/>
          <w:sz w:val="22"/>
          <w:szCs w:val="22"/>
        </w:rPr>
        <w:t xml:space="preserve">This paper conducts the first large-scale empirical study of 2,303 agent context files from 1,925 repositories to characterize their structure, maintenance, and content. Agent context files serve as persistent, project-level instructions for AI coding agents.</w:t>
      </w:r>
    </w:p>
    <w:p>
      <w:pPr>
        <w:pStyle w:val="Heading3"/>
        <w:spacing w:after="120" w:before="200" w:line="250"/>
      </w:pPr>
      <w:r>
        <w:rPr>
          <w:rFonts w:ascii="Times New Roman" w:cs="Times New Roman" w:eastAsia="Times New Roman" w:hAnsi="Times New Roman"/>
          <w:b/>
          <w:bCs/>
          <w:color w:val="2D3329"/>
          <w:sz w:val="24"/>
          <w:szCs w:val="24"/>
        </w:rPr>
        <w:t xml:space="preserve">Key Findings</w:t>
      </w:r>
    </w:p>
    <w:p>
      <w:pPr>
        <w:spacing w:after="120" w:before="120" w:line="250"/>
        <w:ind w:firstLine="0"/>
        <w:jc w:val="both"/>
      </w:pPr>
      <w:r>
        <w:rPr>
          <w:rFonts w:ascii="Times New Roman" w:cs="Times New Roman" w:eastAsia="Times New Roman" w:hAnsi="Times New Roman"/>
          <w:color w:val="2D3329"/>
          <w:sz w:val="22"/>
          <w:szCs w:val="22"/>
        </w:rPr>
        <w:t xml:space="preserve">Developers prioritize functional context such as build and run commands (62.3%), implementation details (69.9%), and architecture (67.7%). A significant gap was identified: non-functional requirements like security (14.5%) and performance (14.5%) are rarely specified, indicating a critical gap in agentic coding practices.</w:t>
      </w:r>
    </w:p>
    <w:p>
      <w:r>
        <w:br w:type="page"/>
      </w:r>
    </w:p>
    <w:p>
      <w:pPr>
        <w:pStyle w:val="Heading1"/>
        <w:spacing w:after="200" w:before="360" w:line="250"/>
      </w:pPr>
      <w:r>
        <w:rPr>
          <w:rFonts w:ascii="Times New Roman" w:cs="Times New Roman" w:eastAsia="Times New Roman" w:hAnsi="Times New Roman"/>
          <w:b/>
          <w:bCs/>
          <w:color w:val="1A1F16"/>
          <w:sz w:val="32"/>
          <w:szCs w:val="32"/>
        </w:rPr>
        <w:t xml:space="preserve">3. Comparative Analysis of Models and Methods</w:t>
      </w:r>
    </w:p>
    <w:p>
      <w:pPr>
        <w:pStyle w:val="Heading2"/>
        <w:spacing w:after="160" w:before="280" w:line="250"/>
      </w:pPr>
      <w:r>
        <w:rPr>
          <w:rFonts w:ascii="Times New Roman" w:cs="Times New Roman" w:eastAsia="Times New Roman" w:hAnsi="Times New Roman"/>
          <w:b/>
          <w:bCs/>
          <w:color w:val="4A5548"/>
          <w:sz w:val="28"/>
          <w:szCs w:val="28"/>
        </w:rPr>
        <w:t xml:space="preserve">3.1 Evolution of Detection Approaches</w:t>
      </w:r>
    </w:p>
    <w:p>
      <w:pPr>
        <w:spacing w:after="120" w:before="120" w:line="250"/>
        <w:ind w:firstLine="0"/>
        <w:jc w:val="both"/>
      </w:pPr>
      <w:r>
        <w:rPr>
          <w:rFonts w:ascii="Times New Roman" w:cs="Times New Roman" w:eastAsia="Times New Roman" w:hAnsi="Times New Roman"/>
          <w:color w:val="2D3329"/>
          <w:sz w:val="22"/>
          <w:szCs w:val="22"/>
        </w:rPr>
        <w:t xml:space="preserve">The analyzed papers reveal a clear evolution in security detection approaches for IaC and smart contracts:</w:t>
      </w:r>
    </w:p>
    <w:p>
      <w:pPr>
        <w:pStyle w:val="ListParagraph"/>
        <w:numPr>
          <w:ilvl w:val="0"/>
          <w:numId w:val="5"/>
        </w:numPr>
        <w:spacing w:after="120" w:before="120" w:line="250"/>
      </w:pPr>
      <w:r>
        <w:rPr>
          <w:rFonts w:ascii="Times New Roman" w:cs="Times New Roman" w:eastAsia="Times New Roman" w:hAnsi="Times New Roman"/>
          <w:b/>
          <w:bCs/>
          <w:color w:val="2D3329"/>
          <w:sz w:val="22"/>
          <w:szCs w:val="22"/>
        </w:rPr>
        <w:t xml:space="preserve">Rule-Based Static Analysis (2022-2024): </w:t>
      </w:r>
      <w:r>
        <w:rPr>
          <w:rFonts w:ascii="Times New Roman" w:cs="Times New Roman" w:eastAsia="Times New Roman" w:hAnsi="Times New Roman"/>
          <w:color w:val="2D3329"/>
          <w:sz w:val="22"/>
          <w:szCs w:val="22"/>
        </w:rPr>
        <w:t xml:space="preserve">Early approaches relied on predefined patterns and rules, exemplified by tools like SLIC, SLAC, and traditional SAST tools. These methods achieve high precision but often miss novel or context-dependent vulnerabilities.</w:t>
      </w:r>
    </w:p>
    <w:p>
      <w:pPr>
        <w:pStyle w:val="ListParagraph"/>
        <w:numPr>
          <w:ilvl w:val="0"/>
          <w:numId w:val="5"/>
        </w:numPr>
        <w:spacing w:after="120" w:before="120" w:line="250"/>
      </w:pPr>
      <w:r>
        <w:rPr>
          <w:rFonts w:ascii="Times New Roman" w:cs="Times New Roman" w:eastAsia="Times New Roman" w:hAnsi="Times New Roman"/>
          <w:b/>
          <w:bCs/>
          <w:color w:val="2D3329"/>
          <w:sz w:val="22"/>
          <w:szCs w:val="22"/>
        </w:rPr>
        <w:t xml:space="preserve">Intermediate Representations (2022): </w:t>
      </w:r>
      <w:r>
        <w:rPr>
          <w:rFonts w:ascii="Times New Roman" w:cs="Times New Roman" w:eastAsia="Times New Roman" w:hAnsi="Times New Roman"/>
          <w:color w:val="2D3329"/>
          <w:sz w:val="22"/>
          <w:szCs w:val="22"/>
        </w:rPr>
        <w:t xml:space="preserve">GLITCH introduced the concept of technology-agnostic intermediate representations, enabling consistent detection across multiple IaC languages while maintaining reasonable accuracy.</w:t>
      </w:r>
    </w:p>
    <w:p>
      <w:pPr>
        <w:pStyle w:val="ListParagraph"/>
        <w:numPr>
          <w:ilvl w:val="0"/>
          <w:numId w:val="5"/>
        </w:numPr>
        <w:spacing w:after="120" w:before="120" w:line="250"/>
      </w:pPr>
      <w:r>
        <w:rPr>
          <w:rFonts w:ascii="Times New Roman" w:cs="Times New Roman" w:eastAsia="Times New Roman" w:hAnsi="Times New Roman"/>
          <w:b/>
          <w:bCs/>
          <w:color w:val="2D3329"/>
          <w:sz w:val="22"/>
          <w:szCs w:val="22"/>
        </w:rPr>
        <w:t xml:space="preserve">Machine Learning Approaches (2024-2025): </w:t>
      </w:r>
      <w:r>
        <w:rPr>
          <w:rFonts w:ascii="Times New Roman" w:cs="Times New Roman" w:eastAsia="Times New Roman" w:hAnsi="Times New Roman"/>
          <w:color w:val="2D3329"/>
          <w:sz w:val="22"/>
          <w:szCs w:val="22"/>
        </w:rPr>
        <w:t xml:space="preserve">Papers 8 and 9 demonstrate the effectiveness of ML models like CodeBERT and LongFormer for semantic-aware security detection, achieving significant improvements over traditional approaches.</w:t>
      </w:r>
    </w:p>
    <w:p>
      <w:pPr>
        <w:pStyle w:val="ListParagraph"/>
        <w:numPr>
          <w:ilvl w:val="0"/>
          <w:numId w:val="5"/>
        </w:numPr>
        <w:spacing w:after="120" w:before="120" w:line="250"/>
      </w:pPr>
      <w:r>
        <w:rPr>
          <w:rFonts w:ascii="Times New Roman" w:cs="Times New Roman" w:eastAsia="Times New Roman" w:hAnsi="Times New Roman"/>
          <w:b/>
          <w:bCs/>
          <w:color w:val="2D3329"/>
          <w:sz w:val="22"/>
          <w:szCs w:val="22"/>
        </w:rPr>
        <w:t xml:space="preserve">LLM-Based Analysis (2025-2026): </w:t>
      </w:r>
      <w:r>
        <w:rPr>
          <w:rFonts w:ascii="Times New Roman" w:cs="Times New Roman" w:eastAsia="Times New Roman" w:hAnsi="Times New Roman"/>
          <w:color w:val="2D3329"/>
          <w:sz w:val="22"/>
          <w:szCs w:val="22"/>
        </w:rPr>
        <w:t xml:space="preserve">The most recent papers showcase the application of LLMs for both security detection and secure code generation, with fine-tuning approaches achieving state-of-the-art performance.</w:t>
      </w:r>
    </w:p>
    <w:p>
      <w:pPr>
        <w:pStyle w:val="Heading2"/>
        <w:spacing w:after="160" w:before="280" w:line="250"/>
      </w:pPr>
      <w:r>
        <w:rPr>
          <w:rFonts w:ascii="Times New Roman" w:cs="Times New Roman" w:eastAsia="Times New Roman" w:hAnsi="Times New Roman"/>
          <w:b/>
          <w:bCs/>
          <w:color w:val="4A5548"/>
          <w:sz w:val="28"/>
          <w:szCs w:val="28"/>
        </w:rPr>
        <w:t xml:space="preserve">3.2 Performance Comparison</w:t>
      </w:r>
    </w:p>
    <w:p>
      <w:pPr>
        <w:spacing w:after="120" w:before="120" w:line="250"/>
        <w:ind w:firstLine="0"/>
        <w:jc w:val="both"/>
      </w:pPr>
      <w:r>
        <w:rPr>
          <w:rFonts w:ascii="Times New Roman" w:cs="Times New Roman" w:eastAsia="Times New Roman" w:hAnsi="Times New Roman"/>
          <w:color w:val="2D3329"/>
          <w:sz w:val="22"/>
          <w:szCs w:val="22"/>
        </w:rPr>
        <w:t xml:space="preserve">Table 1 summarizes the key performance metrics reported across the analyzed papers: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200"/>
        <w:gridCol w:w="1200"/>
        <w:gridCol w:w="1200"/>
      </w:tblGrid>
      <w:tr>
        <w:trPr>
          <w:tblHeader/>
        </w:trPr>
        <w:tc>
          <w:tcPr>
            <w:tcBorders>
              <w:top w:val="single" w:color="4A5548" w:sz="1"/>
              <w:left w:val="single" w:color="4A5548" w:sz="1"/>
              <w:bottom w:val="single" w:color="4A5548" w:sz="1"/>
              <w:right w:val="single" w:color="4A5548" w:sz="1"/>
            </w:tcBorders>
            <w:shd w:fill="26211F" w:val="clear"/>
            <w:vAlign w:val="center"/>
          </w:tcPr>
          <w:p>
            <w:pPr>
              <w:jc w:val="center"/>
            </w:pPr>
            <w:r>
              <w:rPr>
                <w:rFonts w:ascii="Times New Roman" w:cs="Times New Roman" w:eastAsia="Times New Roman" w:hAnsi="Times New Roman"/>
                <w:b/>
                <w:bCs/>
                <w:color w:val="FFFFFF"/>
                <w:sz w:val="20"/>
                <w:szCs w:val="20"/>
              </w:rPr>
              <w:t xml:space="preserve">Paper</w:t>
            </w:r>
          </w:p>
        </w:tc>
        <w:tc>
          <w:tcPr>
            <w:tcBorders>
              <w:top w:val="single" w:color="4A5548" w:sz="1"/>
              <w:left w:val="single" w:color="4A5548" w:sz="1"/>
              <w:bottom w:val="single" w:color="4A5548" w:sz="1"/>
              <w:right w:val="single" w:color="4A5548" w:sz="1"/>
            </w:tcBorders>
            <w:shd w:fill="26211F" w:val="clear"/>
            <w:vAlign w:val="center"/>
          </w:tcPr>
          <w:p>
            <w:pPr>
              <w:jc w:val="center"/>
            </w:pPr>
            <w:r>
              <w:rPr>
                <w:rFonts w:ascii="Times New Roman" w:cs="Times New Roman" w:eastAsia="Times New Roman" w:hAnsi="Times New Roman"/>
                <w:b/>
                <w:bCs/>
                <w:color w:val="FFFFFF"/>
                <w:sz w:val="20"/>
                <w:szCs w:val="20"/>
              </w:rPr>
              <w:t xml:space="preserve">Method</w:t>
            </w:r>
          </w:p>
        </w:tc>
        <w:tc>
          <w:tcPr>
            <w:tcBorders>
              <w:top w:val="single" w:color="4A5548" w:sz="1"/>
              <w:left w:val="single" w:color="4A5548" w:sz="1"/>
              <w:bottom w:val="single" w:color="4A5548" w:sz="1"/>
              <w:right w:val="single" w:color="4A5548" w:sz="1"/>
            </w:tcBorders>
            <w:shd w:fill="26211F" w:val="clear"/>
            <w:vAlign w:val="center"/>
          </w:tcPr>
          <w:p>
            <w:pPr>
              <w:jc w:val="center"/>
            </w:pPr>
            <w:r>
              <w:rPr>
                <w:rFonts w:ascii="Times New Roman" w:cs="Times New Roman" w:eastAsia="Times New Roman" w:hAnsi="Times New Roman"/>
                <w:b/>
                <w:bCs/>
                <w:color w:val="FFFFFF"/>
                <w:sz w:val="20"/>
                <w:szCs w:val="20"/>
              </w:rPr>
              <w:t xml:space="preserve">Precision</w:t>
            </w:r>
          </w:p>
        </w:tc>
        <w:tc>
          <w:tcPr>
            <w:tcBorders>
              <w:top w:val="single" w:color="4A5548" w:sz="1"/>
              <w:left w:val="single" w:color="4A5548" w:sz="1"/>
              <w:bottom w:val="single" w:color="4A5548" w:sz="1"/>
              <w:right w:val="single" w:color="4A5548" w:sz="1"/>
            </w:tcBorders>
            <w:shd w:fill="26211F" w:val="clear"/>
            <w:vAlign w:val="center"/>
          </w:tcPr>
          <w:p>
            <w:pPr>
              <w:jc w:val="center"/>
            </w:pPr>
            <w:r>
              <w:rPr>
                <w:rFonts w:ascii="Times New Roman" w:cs="Times New Roman" w:eastAsia="Times New Roman" w:hAnsi="Times New Roman"/>
                <w:b/>
                <w:bCs/>
                <w:color w:val="FFFFFF"/>
                <w:sz w:val="20"/>
                <w:szCs w:val="20"/>
              </w:rPr>
              <w:t xml:space="preserve">Recall</w:t>
            </w:r>
          </w:p>
        </w:tc>
        <w:tc>
          <w:tcPr>
            <w:tcBorders>
              <w:top w:val="single" w:color="4A5548" w:sz="1"/>
              <w:left w:val="single" w:color="4A5548" w:sz="1"/>
              <w:bottom w:val="single" w:color="4A5548" w:sz="1"/>
              <w:right w:val="single" w:color="4A5548" w:sz="1"/>
            </w:tcBorders>
            <w:shd w:fill="26211F" w:val="clear"/>
            <w:vAlign w:val="center"/>
          </w:tcPr>
          <w:p>
            <w:pPr>
              <w:jc w:val="center"/>
            </w:pPr>
            <w:r>
              <w:rPr>
                <w:rFonts w:ascii="Times New Roman" w:cs="Times New Roman" w:eastAsia="Times New Roman" w:hAnsi="Times New Roman"/>
                <w:b/>
                <w:bCs/>
                <w:color w:val="FFFFFF"/>
                <w:sz w:val="20"/>
                <w:szCs w:val="20"/>
              </w:rPr>
              <w:t xml:space="preserve">F1-Score</w:t>
            </w:r>
          </w:p>
        </w:tc>
      </w:tr>
      <w:tr>
        <w:tc>
          <w:tcPr>
            <w:tcBorders>
              <w:top w:val="single" w:color="4A5548" w:sz="1"/>
              <w:left w:val="single" w:color="4A5548" w:sz="1"/>
              <w:bottom w:val="single" w:color="4A5548" w:sz="1"/>
              <w:right w:val="single" w:color="4A5548" w:sz="1"/>
            </w:tcBorders>
            <w:shd w:fill="FFFFFF" w:val="clear"/>
            <w:vAlign w:val="center"/>
          </w:tcPr>
          <w:p>
            <w:pPr>
              <w:jc w:val="center"/>
            </w:pPr>
            <w:r>
              <w:rPr>
                <w:rFonts w:ascii="Times New Roman" w:cs="Times New Roman" w:eastAsia="Times New Roman" w:hAnsi="Times New Roman"/>
                <w:color w:val="2D3329"/>
                <w:sz w:val="20"/>
                <w:szCs w:val="20"/>
              </w:rPr>
              <w:t xml:space="preserve">Paper 2</w:t>
            </w:r>
          </w:p>
        </w:tc>
        <w:tc>
          <w:tcPr>
            <w:tcBorders>
              <w:top w:val="single" w:color="4A5548" w:sz="1"/>
              <w:left w:val="single" w:color="4A5548" w:sz="1"/>
              <w:bottom w:val="single" w:color="4A5548" w:sz="1"/>
              <w:right w:val="single" w:color="4A5548" w:sz="1"/>
            </w:tcBorders>
            <w:shd w:fill="FFFFFF" w:val="clear"/>
            <w:vAlign w:val="center"/>
          </w:tcPr>
          <w:p>
            <w:pPr>
              <w:jc w:val="center"/>
            </w:pPr>
            <w:r>
              <w:rPr>
                <w:rFonts w:ascii="Times New Roman" w:cs="Times New Roman" w:eastAsia="Times New Roman" w:hAnsi="Times New Roman"/>
                <w:color w:val="2D3329"/>
                <w:sz w:val="20"/>
                <w:szCs w:val="20"/>
              </w:rPr>
              <w:t xml:space="preserve">GLITCH</w:t>
            </w:r>
          </w:p>
        </w:tc>
        <w:tc>
          <w:tcPr>
            <w:tcBorders>
              <w:top w:val="single" w:color="4A5548" w:sz="1"/>
              <w:left w:val="single" w:color="4A5548" w:sz="1"/>
              <w:bottom w:val="single" w:color="4A5548" w:sz="1"/>
              <w:right w:val="single" w:color="4A5548" w:sz="1"/>
            </w:tcBorders>
            <w:shd w:fill="FFFFFF" w:val="clear"/>
            <w:vAlign w:val="center"/>
          </w:tcPr>
          <w:p>
            <w:pPr>
              <w:jc w:val="center"/>
            </w:pPr>
            <w:r>
              <w:rPr>
                <w:rFonts w:ascii="Times New Roman" w:cs="Times New Roman" w:eastAsia="Times New Roman" w:hAnsi="Times New Roman"/>
                <w:color w:val="2D3329"/>
                <w:sz w:val="20"/>
                <w:szCs w:val="20"/>
              </w:rPr>
              <w:t xml:space="preserve">0.77</w:t>
            </w:r>
          </w:p>
        </w:tc>
        <w:tc>
          <w:tcPr>
            <w:tcBorders>
              <w:top w:val="single" w:color="4A5548" w:sz="1"/>
              <w:left w:val="single" w:color="4A5548" w:sz="1"/>
              <w:bottom w:val="single" w:color="4A5548" w:sz="1"/>
              <w:right w:val="single" w:color="4A5548" w:sz="1"/>
            </w:tcBorders>
            <w:shd w:fill="FFFFFF" w:val="clear"/>
            <w:vAlign w:val="center"/>
          </w:tcPr>
          <w:p>
            <w:pPr>
              <w:jc w:val="center"/>
            </w:pPr>
            <w:r>
              <w:rPr>
                <w:rFonts w:ascii="Times New Roman" w:cs="Times New Roman" w:eastAsia="Times New Roman" w:hAnsi="Times New Roman"/>
                <w:color w:val="2D3329"/>
                <w:sz w:val="20"/>
                <w:szCs w:val="20"/>
              </w:rPr>
              <w:t xml:space="preserve">0.87</w:t>
            </w:r>
          </w:p>
        </w:tc>
        <w:tc>
          <w:tcPr>
            <w:tcBorders>
              <w:top w:val="single" w:color="4A5548" w:sz="1"/>
              <w:left w:val="single" w:color="4A5548" w:sz="1"/>
              <w:bottom w:val="single" w:color="4A5548" w:sz="1"/>
              <w:right w:val="single" w:color="4A5548" w:sz="1"/>
            </w:tcBorders>
            <w:shd w:fill="FFFFFF" w:val="clear"/>
            <w:vAlign w:val="center"/>
          </w:tcPr>
          <w:p>
            <w:pPr>
              <w:jc w:val="center"/>
            </w:pPr>
            <w:r>
              <w:rPr>
                <w:rFonts w:ascii="Times New Roman" w:cs="Times New Roman" w:eastAsia="Times New Roman" w:hAnsi="Times New Roman"/>
                <w:color w:val="2D3329"/>
                <w:sz w:val="20"/>
                <w:szCs w:val="20"/>
              </w:rPr>
              <w:t xml:space="preserve">0.82</w:t>
            </w:r>
          </w:p>
        </w:tc>
      </w:tr>
      <w:tr>
        <w:tc>
          <w:tcPr>
            <w:tcBorders>
              <w:top w:val="single" w:color="4A5548" w:sz="1"/>
              <w:left w:val="single" w:color="4A5548" w:sz="1"/>
              <w:bottom w:val="single" w:color="4A5548" w:sz="1"/>
              <w:right w:val="single" w:color="4A5548" w:sz="1"/>
            </w:tcBorders>
            <w:shd w:fill="F8FAF7" w:val="clear"/>
            <w:vAlign w:val="center"/>
          </w:tcPr>
          <w:p>
            <w:pPr>
              <w:jc w:val="center"/>
            </w:pPr>
            <w:r>
              <w:rPr>
                <w:rFonts w:ascii="Times New Roman" w:cs="Times New Roman" w:eastAsia="Times New Roman" w:hAnsi="Times New Roman"/>
                <w:color w:val="2D3329"/>
                <w:sz w:val="20"/>
                <w:szCs w:val="20"/>
              </w:rPr>
              <w:t xml:space="preserve">Paper 6</w:t>
            </w:r>
          </w:p>
        </w:tc>
        <w:tc>
          <w:tcPr>
            <w:tcBorders>
              <w:top w:val="single" w:color="4A5548" w:sz="1"/>
              <w:left w:val="single" w:color="4A5548" w:sz="1"/>
              <w:bottom w:val="single" w:color="4A5548" w:sz="1"/>
              <w:right w:val="single" w:color="4A5548" w:sz="1"/>
            </w:tcBorders>
            <w:shd w:fill="F8FAF7" w:val="clear"/>
            <w:vAlign w:val="center"/>
          </w:tcPr>
          <w:p>
            <w:pPr>
              <w:jc w:val="center"/>
            </w:pPr>
            <w:r>
              <w:rPr>
                <w:rFonts w:ascii="Times New Roman" w:cs="Times New Roman" w:eastAsia="Times New Roman" w:hAnsi="Times New Roman"/>
                <w:color w:val="2D3329"/>
                <w:sz w:val="20"/>
                <w:szCs w:val="20"/>
              </w:rPr>
              <w:t xml:space="preserve">SonarQube</w:t>
            </w:r>
          </w:p>
        </w:tc>
        <w:tc>
          <w:tcPr>
            <w:tcBorders>
              <w:top w:val="single" w:color="4A5548" w:sz="1"/>
              <w:left w:val="single" w:color="4A5548" w:sz="1"/>
              <w:bottom w:val="single" w:color="4A5548" w:sz="1"/>
              <w:right w:val="single" w:color="4A5548" w:sz="1"/>
            </w:tcBorders>
            <w:shd w:fill="F8FAF7" w:val="clear"/>
            <w:vAlign w:val="center"/>
          </w:tcPr>
          <w:p>
            <w:pPr>
              <w:jc w:val="center"/>
            </w:pPr>
            <w:r>
              <w:rPr>
                <w:rFonts w:ascii="Times New Roman" w:cs="Times New Roman" w:eastAsia="Times New Roman" w:hAnsi="Times New Roman"/>
                <w:color w:val="2D3329"/>
                <w:sz w:val="20"/>
                <w:szCs w:val="20"/>
              </w:rPr>
              <w:t xml:space="preserve">0.57</w:t>
            </w:r>
          </w:p>
        </w:tc>
        <w:tc>
          <w:tcPr>
            <w:tcBorders>
              <w:top w:val="single" w:color="4A5548" w:sz="1"/>
              <w:left w:val="single" w:color="4A5548" w:sz="1"/>
              <w:bottom w:val="single" w:color="4A5548" w:sz="1"/>
              <w:right w:val="single" w:color="4A5548" w:sz="1"/>
            </w:tcBorders>
            <w:shd w:fill="F8FAF7" w:val="clear"/>
            <w:vAlign w:val="center"/>
          </w:tcPr>
          <w:p>
            <w:pPr>
              <w:jc w:val="center"/>
            </w:pPr>
            <w:r>
              <w:rPr>
                <w:rFonts w:ascii="Times New Roman" w:cs="Times New Roman" w:eastAsia="Times New Roman" w:hAnsi="Times New Roman"/>
                <w:color w:val="2D3329"/>
                <w:sz w:val="20"/>
                <w:szCs w:val="20"/>
              </w:rPr>
              <w:t xml:space="preserve">0.19</w:t>
            </w:r>
          </w:p>
        </w:tc>
        <w:tc>
          <w:tcPr>
            <w:tcBorders>
              <w:top w:val="single" w:color="4A5548" w:sz="1"/>
              <w:left w:val="single" w:color="4A5548" w:sz="1"/>
              <w:bottom w:val="single" w:color="4A5548" w:sz="1"/>
              <w:right w:val="single" w:color="4A5548" w:sz="1"/>
            </w:tcBorders>
            <w:shd w:fill="F8FAF7" w:val="clear"/>
            <w:vAlign w:val="center"/>
          </w:tcPr>
          <w:p>
            <w:pPr>
              <w:jc w:val="center"/>
            </w:pPr>
            <w:r>
              <w:rPr>
                <w:rFonts w:ascii="Times New Roman" w:cs="Times New Roman" w:eastAsia="Times New Roman" w:hAnsi="Times New Roman"/>
                <w:color w:val="2D3329"/>
                <w:sz w:val="20"/>
                <w:szCs w:val="20"/>
              </w:rPr>
              <w:t xml:space="preserve">0.26</w:t>
            </w:r>
          </w:p>
        </w:tc>
      </w:tr>
      <w:tr>
        <w:tc>
          <w:tcPr>
            <w:tcBorders>
              <w:top w:val="single" w:color="4A5548" w:sz="1"/>
              <w:left w:val="single" w:color="4A5548" w:sz="1"/>
              <w:bottom w:val="single" w:color="4A5548" w:sz="1"/>
              <w:right w:val="single" w:color="4A5548" w:sz="1"/>
            </w:tcBorders>
            <w:shd w:fill="FFFFFF" w:val="clear"/>
            <w:vAlign w:val="center"/>
          </w:tcPr>
          <w:p>
            <w:pPr>
              <w:jc w:val="center"/>
            </w:pPr>
            <w:r>
              <w:rPr>
                <w:rFonts w:ascii="Times New Roman" w:cs="Times New Roman" w:eastAsia="Times New Roman" w:hAnsi="Times New Roman"/>
                <w:color w:val="2D3329"/>
                <w:sz w:val="20"/>
                <w:szCs w:val="20"/>
              </w:rPr>
              <w:t xml:space="preserve">Paper 6</w:t>
            </w:r>
          </w:p>
        </w:tc>
        <w:tc>
          <w:tcPr>
            <w:tcBorders>
              <w:top w:val="single" w:color="4A5548" w:sz="1"/>
              <w:left w:val="single" w:color="4A5548" w:sz="1"/>
              <w:bottom w:val="single" w:color="4A5548" w:sz="1"/>
              <w:right w:val="single" w:color="4A5548" w:sz="1"/>
            </w:tcBorders>
            <w:shd w:fill="FFFFFF" w:val="clear"/>
            <w:vAlign w:val="center"/>
          </w:tcPr>
          <w:p>
            <w:pPr>
              <w:jc w:val="center"/>
            </w:pPr>
            <w:r>
              <w:rPr>
                <w:rFonts w:ascii="Times New Roman" w:cs="Times New Roman" w:eastAsia="Times New Roman" w:hAnsi="Times New Roman"/>
                <w:color w:val="2D3329"/>
                <w:sz w:val="20"/>
                <w:szCs w:val="20"/>
              </w:rPr>
              <w:t xml:space="preserve">CodeQL</w:t>
            </w:r>
          </w:p>
        </w:tc>
        <w:tc>
          <w:tcPr>
            <w:tcBorders>
              <w:top w:val="single" w:color="4A5548" w:sz="1"/>
              <w:left w:val="single" w:color="4A5548" w:sz="1"/>
              <w:bottom w:val="single" w:color="4A5548" w:sz="1"/>
              <w:right w:val="single" w:color="4A5548" w:sz="1"/>
            </w:tcBorders>
            <w:shd w:fill="FFFFFF" w:val="clear"/>
            <w:vAlign w:val="center"/>
          </w:tcPr>
          <w:p>
            <w:pPr>
              <w:jc w:val="center"/>
            </w:pPr>
            <w:r>
              <w:rPr>
                <w:rFonts w:ascii="Times New Roman" w:cs="Times New Roman" w:eastAsia="Times New Roman" w:hAnsi="Times New Roman"/>
                <w:color w:val="2D3329"/>
                <w:sz w:val="20"/>
                <w:szCs w:val="20"/>
              </w:rPr>
              <w:t xml:space="preserve">0.63</w:t>
            </w:r>
          </w:p>
        </w:tc>
        <w:tc>
          <w:tcPr>
            <w:tcBorders>
              <w:top w:val="single" w:color="4A5548" w:sz="1"/>
              <w:left w:val="single" w:color="4A5548" w:sz="1"/>
              <w:bottom w:val="single" w:color="4A5548" w:sz="1"/>
              <w:right w:val="single" w:color="4A5548" w:sz="1"/>
            </w:tcBorders>
            <w:shd w:fill="FFFFFF" w:val="clear"/>
            <w:vAlign w:val="center"/>
          </w:tcPr>
          <w:p>
            <w:pPr>
              <w:jc w:val="center"/>
            </w:pPr>
            <w:r>
              <w:rPr>
                <w:rFonts w:ascii="Times New Roman" w:cs="Times New Roman" w:eastAsia="Times New Roman" w:hAnsi="Times New Roman"/>
                <w:color w:val="2D3329"/>
                <w:sz w:val="20"/>
                <w:szCs w:val="20"/>
              </w:rPr>
              <w:t xml:space="preserve">0.28</w:t>
            </w:r>
          </w:p>
        </w:tc>
        <w:tc>
          <w:tcPr>
            <w:tcBorders>
              <w:top w:val="single" w:color="4A5548" w:sz="1"/>
              <w:left w:val="single" w:color="4A5548" w:sz="1"/>
              <w:bottom w:val="single" w:color="4A5548" w:sz="1"/>
              <w:right w:val="single" w:color="4A5548" w:sz="1"/>
            </w:tcBorders>
            <w:shd w:fill="FFFFFF" w:val="clear"/>
            <w:vAlign w:val="center"/>
          </w:tcPr>
          <w:p>
            <w:pPr>
              <w:jc w:val="center"/>
            </w:pPr>
            <w:r>
              <w:rPr>
                <w:rFonts w:ascii="Times New Roman" w:cs="Times New Roman" w:eastAsia="Times New Roman" w:hAnsi="Times New Roman"/>
                <w:color w:val="2D3329"/>
                <w:sz w:val="20"/>
                <w:szCs w:val="20"/>
              </w:rPr>
              <w:t xml:space="preserve">0.39</w:t>
            </w:r>
          </w:p>
        </w:tc>
      </w:tr>
      <w:tr>
        <w:tc>
          <w:tcPr>
            <w:tcBorders>
              <w:top w:val="single" w:color="4A5548" w:sz="1"/>
              <w:left w:val="single" w:color="4A5548" w:sz="1"/>
              <w:bottom w:val="single" w:color="4A5548" w:sz="1"/>
              <w:right w:val="single" w:color="4A5548" w:sz="1"/>
            </w:tcBorders>
            <w:shd w:fill="F8FAF7" w:val="clear"/>
            <w:vAlign w:val="center"/>
          </w:tcPr>
          <w:p>
            <w:pPr>
              <w:jc w:val="center"/>
            </w:pPr>
            <w:r>
              <w:rPr>
                <w:rFonts w:ascii="Times New Roman" w:cs="Times New Roman" w:eastAsia="Times New Roman" w:hAnsi="Times New Roman"/>
                <w:color w:val="2D3329"/>
                <w:sz w:val="20"/>
                <w:szCs w:val="20"/>
              </w:rPr>
              <w:t xml:space="preserve">Paper 6</w:t>
            </w:r>
          </w:p>
        </w:tc>
        <w:tc>
          <w:tcPr>
            <w:tcBorders>
              <w:top w:val="single" w:color="4A5548" w:sz="1"/>
              <w:left w:val="single" w:color="4A5548" w:sz="1"/>
              <w:bottom w:val="single" w:color="4A5548" w:sz="1"/>
              <w:right w:val="single" w:color="4A5548" w:sz="1"/>
            </w:tcBorders>
            <w:shd w:fill="F8FAF7" w:val="clear"/>
            <w:vAlign w:val="center"/>
          </w:tcPr>
          <w:p>
            <w:pPr>
              <w:jc w:val="center"/>
            </w:pPr>
            <w:r>
              <w:rPr>
                <w:rFonts w:ascii="Times New Roman" w:cs="Times New Roman" w:eastAsia="Times New Roman" w:hAnsi="Times New Roman"/>
                <w:color w:val="2D3329"/>
                <w:sz w:val="20"/>
                <w:szCs w:val="20"/>
              </w:rPr>
              <w:t xml:space="preserve">Snyk Code</w:t>
            </w:r>
          </w:p>
        </w:tc>
        <w:tc>
          <w:tcPr>
            <w:tcBorders>
              <w:top w:val="single" w:color="4A5548" w:sz="1"/>
              <w:left w:val="single" w:color="4A5548" w:sz="1"/>
              <w:bottom w:val="single" w:color="4A5548" w:sz="1"/>
              <w:right w:val="single" w:color="4A5548" w:sz="1"/>
            </w:tcBorders>
            <w:shd w:fill="F8FAF7" w:val="clear"/>
            <w:vAlign w:val="center"/>
          </w:tcPr>
          <w:p>
            <w:pPr>
              <w:jc w:val="center"/>
            </w:pPr>
            <w:r>
              <w:rPr>
                <w:rFonts w:ascii="Times New Roman" w:cs="Times New Roman" w:eastAsia="Times New Roman" w:hAnsi="Times New Roman"/>
                <w:color w:val="2D3329"/>
                <w:sz w:val="20"/>
                <w:szCs w:val="20"/>
              </w:rPr>
              <w:t xml:space="preserve">0.69</w:t>
            </w:r>
          </w:p>
        </w:tc>
        <w:tc>
          <w:tcPr>
            <w:tcBorders>
              <w:top w:val="single" w:color="4A5548" w:sz="1"/>
              <w:left w:val="single" w:color="4A5548" w:sz="1"/>
              <w:bottom w:val="single" w:color="4A5548" w:sz="1"/>
              <w:right w:val="single" w:color="4A5548" w:sz="1"/>
            </w:tcBorders>
            <w:shd w:fill="F8FAF7" w:val="clear"/>
            <w:vAlign w:val="center"/>
          </w:tcPr>
          <w:p>
            <w:pPr>
              <w:jc w:val="center"/>
            </w:pPr>
            <w:r>
              <w:rPr>
                <w:rFonts w:ascii="Times New Roman" w:cs="Times New Roman" w:eastAsia="Times New Roman" w:hAnsi="Times New Roman"/>
                <w:color w:val="2D3329"/>
                <w:sz w:val="20"/>
                <w:szCs w:val="20"/>
              </w:rPr>
              <w:t xml:space="preserve">0.52</w:t>
            </w:r>
          </w:p>
        </w:tc>
        <w:tc>
          <w:tcPr>
            <w:tcBorders>
              <w:top w:val="single" w:color="4A5548" w:sz="1"/>
              <w:left w:val="single" w:color="4A5548" w:sz="1"/>
              <w:bottom w:val="single" w:color="4A5548" w:sz="1"/>
              <w:right w:val="single" w:color="4A5548" w:sz="1"/>
            </w:tcBorders>
            <w:shd w:fill="F8FAF7" w:val="clear"/>
            <w:vAlign w:val="center"/>
          </w:tcPr>
          <w:p>
            <w:pPr>
              <w:jc w:val="center"/>
            </w:pPr>
            <w:r>
              <w:rPr>
                <w:rFonts w:ascii="Times New Roman" w:cs="Times New Roman" w:eastAsia="Times New Roman" w:hAnsi="Times New Roman"/>
                <w:color w:val="2D3329"/>
                <w:sz w:val="20"/>
                <w:szCs w:val="20"/>
              </w:rPr>
              <w:t xml:space="preserve">0.55</w:t>
            </w:r>
          </w:p>
        </w:tc>
      </w:tr>
      <w:tr>
        <w:tc>
          <w:tcPr>
            <w:tcBorders>
              <w:top w:val="single" w:color="4A5548" w:sz="1"/>
              <w:left w:val="single" w:color="4A5548" w:sz="1"/>
              <w:bottom w:val="single" w:color="4A5548" w:sz="1"/>
              <w:right w:val="single" w:color="4A5548" w:sz="1"/>
            </w:tcBorders>
            <w:shd w:fill="FFFFFF" w:val="clear"/>
            <w:vAlign w:val="center"/>
          </w:tcPr>
          <w:p>
            <w:pPr>
              <w:jc w:val="center"/>
            </w:pPr>
            <w:r>
              <w:rPr>
                <w:rFonts w:ascii="Times New Roman" w:cs="Times New Roman" w:eastAsia="Times New Roman" w:hAnsi="Times New Roman"/>
                <w:color w:val="2D3329"/>
                <w:sz w:val="20"/>
                <w:szCs w:val="20"/>
              </w:rPr>
              <w:t xml:space="preserve">Paper 6</w:t>
            </w:r>
          </w:p>
        </w:tc>
        <w:tc>
          <w:tcPr>
            <w:tcBorders>
              <w:top w:val="single" w:color="4A5548" w:sz="1"/>
              <w:left w:val="single" w:color="4A5548" w:sz="1"/>
              <w:bottom w:val="single" w:color="4A5548" w:sz="1"/>
              <w:right w:val="single" w:color="4A5548" w:sz="1"/>
            </w:tcBorders>
            <w:shd w:fill="FFFFFF" w:val="clear"/>
            <w:vAlign w:val="center"/>
          </w:tcPr>
          <w:p>
            <w:pPr>
              <w:jc w:val="center"/>
            </w:pPr>
            <w:r>
              <w:rPr>
                <w:rFonts w:ascii="Times New Roman" w:cs="Times New Roman" w:eastAsia="Times New Roman" w:hAnsi="Times New Roman"/>
                <w:color w:val="2D3329"/>
                <w:sz w:val="20"/>
                <w:szCs w:val="20"/>
              </w:rPr>
              <w:t xml:space="preserve">GPT-4.1</w:t>
            </w:r>
          </w:p>
        </w:tc>
        <w:tc>
          <w:tcPr>
            <w:tcBorders>
              <w:top w:val="single" w:color="4A5548" w:sz="1"/>
              <w:left w:val="single" w:color="4A5548" w:sz="1"/>
              <w:bottom w:val="single" w:color="4A5548" w:sz="1"/>
              <w:right w:val="single" w:color="4A5548" w:sz="1"/>
            </w:tcBorders>
            <w:shd w:fill="FFFFFF" w:val="clear"/>
            <w:vAlign w:val="center"/>
          </w:tcPr>
          <w:p>
            <w:pPr>
              <w:jc w:val="center"/>
            </w:pPr>
            <w:r>
              <w:rPr>
                <w:rFonts w:ascii="Times New Roman" w:cs="Times New Roman" w:eastAsia="Times New Roman" w:hAnsi="Times New Roman"/>
                <w:color w:val="2D3329"/>
                <w:sz w:val="20"/>
                <w:szCs w:val="20"/>
              </w:rPr>
              <w:t xml:space="preserve">0.76</w:t>
            </w:r>
          </w:p>
        </w:tc>
        <w:tc>
          <w:tcPr>
            <w:tcBorders>
              <w:top w:val="single" w:color="4A5548" w:sz="1"/>
              <w:left w:val="single" w:color="4A5548" w:sz="1"/>
              <w:bottom w:val="single" w:color="4A5548" w:sz="1"/>
              <w:right w:val="single" w:color="4A5548" w:sz="1"/>
            </w:tcBorders>
            <w:shd w:fill="FFFFFF" w:val="clear"/>
            <w:vAlign w:val="center"/>
          </w:tcPr>
          <w:p>
            <w:pPr>
              <w:jc w:val="center"/>
            </w:pPr>
            <w:r>
              <w:rPr>
                <w:rFonts w:ascii="Times New Roman" w:cs="Times New Roman" w:eastAsia="Times New Roman" w:hAnsi="Times New Roman"/>
                <w:color w:val="2D3329"/>
                <w:sz w:val="20"/>
                <w:szCs w:val="20"/>
              </w:rPr>
              <w:t xml:space="preserve">0.88</w:t>
            </w:r>
          </w:p>
        </w:tc>
        <w:tc>
          <w:tcPr>
            <w:tcBorders>
              <w:top w:val="single" w:color="4A5548" w:sz="1"/>
              <w:left w:val="single" w:color="4A5548" w:sz="1"/>
              <w:bottom w:val="single" w:color="4A5548" w:sz="1"/>
              <w:right w:val="single" w:color="4A5548" w:sz="1"/>
            </w:tcBorders>
            <w:shd w:fill="FFFFFF" w:val="clear"/>
            <w:vAlign w:val="center"/>
          </w:tcPr>
          <w:p>
            <w:pPr>
              <w:jc w:val="center"/>
            </w:pPr>
            <w:r>
              <w:rPr>
                <w:rFonts w:ascii="Times New Roman" w:cs="Times New Roman" w:eastAsia="Times New Roman" w:hAnsi="Times New Roman"/>
                <w:color w:val="2D3329"/>
                <w:sz w:val="20"/>
                <w:szCs w:val="20"/>
              </w:rPr>
              <w:t xml:space="preserve">0.80</w:t>
            </w:r>
          </w:p>
        </w:tc>
      </w:tr>
      <w:tr>
        <w:tc>
          <w:tcPr>
            <w:tcBorders>
              <w:top w:val="single" w:color="4A5548" w:sz="1"/>
              <w:left w:val="single" w:color="4A5548" w:sz="1"/>
              <w:bottom w:val="single" w:color="4A5548" w:sz="1"/>
              <w:right w:val="single" w:color="4A5548" w:sz="1"/>
            </w:tcBorders>
            <w:shd w:fill="F8FAF7" w:val="clear"/>
            <w:vAlign w:val="center"/>
          </w:tcPr>
          <w:p>
            <w:pPr>
              <w:jc w:val="center"/>
            </w:pPr>
            <w:r>
              <w:rPr>
                <w:rFonts w:ascii="Times New Roman" w:cs="Times New Roman" w:eastAsia="Times New Roman" w:hAnsi="Times New Roman"/>
                <w:color w:val="2D3329"/>
                <w:sz w:val="20"/>
                <w:szCs w:val="20"/>
              </w:rPr>
              <w:t xml:space="preserve">Paper 6</w:t>
            </w:r>
          </w:p>
        </w:tc>
        <w:tc>
          <w:tcPr>
            <w:tcBorders>
              <w:top w:val="single" w:color="4A5548" w:sz="1"/>
              <w:left w:val="single" w:color="4A5548" w:sz="1"/>
              <w:bottom w:val="single" w:color="4A5548" w:sz="1"/>
              <w:right w:val="single" w:color="4A5548" w:sz="1"/>
            </w:tcBorders>
            <w:shd w:fill="F8FAF7" w:val="clear"/>
            <w:vAlign w:val="center"/>
          </w:tcPr>
          <w:p>
            <w:pPr>
              <w:jc w:val="center"/>
            </w:pPr>
            <w:r>
              <w:rPr>
                <w:rFonts w:ascii="Times New Roman" w:cs="Times New Roman" w:eastAsia="Times New Roman" w:hAnsi="Times New Roman"/>
                <w:color w:val="2D3329"/>
                <w:sz w:val="20"/>
                <w:szCs w:val="20"/>
              </w:rPr>
              <w:t xml:space="preserve">Mistral Large</w:t>
            </w:r>
          </w:p>
        </w:tc>
        <w:tc>
          <w:tcPr>
            <w:tcBorders>
              <w:top w:val="single" w:color="4A5548" w:sz="1"/>
              <w:left w:val="single" w:color="4A5548" w:sz="1"/>
              <w:bottom w:val="single" w:color="4A5548" w:sz="1"/>
              <w:right w:val="single" w:color="4A5548" w:sz="1"/>
            </w:tcBorders>
            <w:shd w:fill="F8FAF7" w:val="clear"/>
            <w:vAlign w:val="center"/>
          </w:tcPr>
          <w:p>
            <w:pPr>
              <w:jc w:val="center"/>
            </w:pPr>
            <w:r>
              <w:rPr>
                <w:rFonts w:ascii="Times New Roman" w:cs="Times New Roman" w:eastAsia="Times New Roman" w:hAnsi="Times New Roman"/>
                <w:color w:val="2D3329"/>
                <w:sz w:val="20"/>
                <w:szCs w:val="20"/>
              </w:rPr>
              <w:t xml:space="preserve">0.78</w:t>
            </w:r>
          </w:p>
        </w:tc>
        <w:tc>
          <w:tcPr>
            <w:tcBorders>
              <w:top w:val="single" w:color="4A5548" w:sz="1"/>
              <w:left w:val="single" w:color="4A5548" w:sz="1"/>
              <w:bottom w:val="single" w:color="4A5548" w:sz="1"/>
              <w:right w:val="single" w:color="4A5548" w:sz="1"/>
            </w:tcBorders>
            <w:shd w:fill="F8FAF7" w:val="clear"/>
            <w:vAlign w:val="center"/>
          </w:tcPr>
          <w:p>
            <w:pPr>
              <w:jc w:val="center"/>
            </w:pPr>
            <w:r>
              <w:rPr>
                <w:rFonts w:ascii="Times New Roman" w:cs="Times New Roman" w:eastAsia="Times New Roman" w:hAnsi="Times New Roman"/>
                <w:color w:val="2D3329"/>
                <w:sz w:val="20"/>
                <w:szCs w:val="20"/>
              </w:rPr>
              <w:t xml:space="preserve">0.78</w:t>
            </w:r>
          </w:p>
        </w:tc>
        <w:tc>
          <w:tcPr>
            <w:tcBorders>
              <w:top w:val="single" w:color="4A5548" w:sz="1"/>
              <w:left w:val="single" w:color="4A5548" w:sz="1"/>
              <w:bottom w:val="single" w:color="4A5548" w:sz="1"/>
              <w:right w:val="single" w:color="4A5548" w:sz="1"/>
            </w:tcBorders>
            <w:shd w:fill="F8FAF7" w:val="clear"/>
            <w:vAlign w:val="center"/>
          </w:tcPr>
          <w:p>
            <w:pPr>
              <w:jc w:val="center"/>
            </w:pPr>
            <w:r>
              <w:rPr>
                <w:rFonts w:ascii="Times New Roman" w:cs="Times New Roman" w:eastAsia="Times New Roman" w:hAnsi="Times New Roman"/>
                <w:color w:val="2D3329"/>
                <w:sz w:val="20"/>
                <w:szCs w:val="20"/>
              </w:rPr>
              <w:t xml:space="preserve">0.75</w:t>
            </w:r>
          </w:p>
        </w:tc>
      </w:tr>
      <w:tr>
        <w:tc>
          <w:tcPr>
            <w:tcBorders>
              <w:top w:val="single" w:color="4A5548" w:sz="1"/>
              <w:left w:val="single" w:color="4A5548" w:sz="1"/>
              <w:bottom w:val="single" w:color="4A5548" w:sz="1"/>
              <w:right w:val="single" w:color="4A5548" w:sz="1"/>
            </w:tcBorders>
            <w:shd w:fill="FFFFFF" w:val="clear"/>
            <w:vAlign w:val="center"/>
          </w:tcPr>
          <w:p>
            <w:pPr>
              <w:jc w:val="center"/>
            </w:pPr>
            <w:r>
              <w:rPr>
                <w:rFonts w:ascii="Times New Roman" w:cs="Times New Roman" w:eastAsia="Times New Roman" w:hAnsi="Times New Roman"/>
                <w:color w:val="2D3329"/>
                <w:sz w:val="20"/>
                <w:szCs w:val="20"/>
              </w:rPr>
              <w:t xml:space="preserve">Paper 8</w:t>
            </w:r>
          </w:p>
        </w:tc>
        <w:tc>
          <w:tcPr>
            <w:tcBorders>
              <w:top w:val="single" w:color="4A5548" w:sz="1"/>
              <w:left w:val="single" w:color="4A5548" w:sz="1"/>
              <w:bottom w:val="single" w:color="4A5548" w:sz="1"/>
              <w:right w:val="single" w:color="4A5548" w:sz="1"/>
            </w:tcBorders>
            <w:shd w:fill="FFFFFF" w:val="clear"/>
            <w:vAlign w:val="center"/>
          </w:tcPr>
          <w:p>
            <w:pPr>
              <w:jc w:val="center"/>
            </w:pPr>
            <w:r>
              <w:rPr>
                <w:rFonts w:ascii="Times New Roman" w:cs="Times New Roman" w:eastAsia="Times New Roman" w:hAnsi="Times New Roman"/>
                <w:color w:val="2D3329"/>
                <w:sz w:val="20"/>
                <w:szCs w:val="20"/>
              </w:rPr>
              <w:t xml:space="preserve">CodeBERT (Ansible)</w:t>
            </w:r>
          </w:p>
        </w:tc>
        <w:tc>
          <w:tcPr>
            <w:tcBorders>
              <w:top w:val="single" w:color="4A5548" w:sz="1"/>
              <w:left w:val="single" w:color="4A5548" w:sz="1"/>
              <w:bottom w:val="single" w:color="4A5548" w:sz="1"/>
              <w:right w:val="single" w:color="4A5548" w:sz="1"/>
            </w:tcBorders>
            <w:shd w:fill="FFFFFF" w:val="clear"/>
            <w:vAlign w:val="center"/>
          </w:tcPr>
          <w:p>
            <w:pPr>
              <w:jc w:val="center"/>
            </w:pPr>
            <w:r>
              <w:rPr>
                <w:rFonts w:ascii="Times New Roman" w:cs="Times New Roman" w:eastAsia="Times New Roman" w:hAnsi="Times New Roman"/>
                <w:color w:val="2D3329"/>
                <w:sz w:val="20"/>
                <w:szCs w:val="20"/>
              </w:rPr>
              <w:t xml:space="preserve">0.92</w:t>
            </w:r>
          </w:p>
        </w:tc>
        <w:tc>
          <w:tcPr>
            <w:tcBorders>
              <w:top w:val="single" w:color="4A5548" w:sz="1"/>
              <w:left w:val="single" w:color="4A5548" w:sz="1"/>
              <w:bottom w:val="single" w:color="4A5548" w:sz="1"/>
              <w:right w:val="single" w:color="4A5548" w:sz="1"/>
            </w:tcBorders>
            <w:shd w:fill="FFFFFF" w:val="clear"/>
            <w:vAlign w:val="center"/>
          </w:tcPr>
          <w:p>
            <w:pPr>
              <w:jc w:val="center"/>
            </w:pPr>
            <w:r>
              <w:rPr>
                <w:rFonts w:ascii="Times New Roman" w:cs="Times New Roman" w:eastAsia="Times New Roman" w:hAnsi="Times New Roman"/>
                <w:color w:val="2D3329"/>
                <w:sz w:val="20"/>
                <w:szCs w:val="20"/>
              </w:rPr>
              <w:t xml:space="preserve">0.88</w:t>
            </w:r>
          </w:p>
        </w:tc>
        <w:tc>
          <w:tcPr>
            <w:tcBorders>
              <w:top w:val="single" w:color="4A5548" w:sz="1"/>
              <w:left w:val="single" w:color="4A5548" w:sz="1"/>
              <w:bottom w:val="single" w:color="4A5548" w:sz="1"/>
              <w:right w:val="single" w:color="4A5548" w:sz="1"/>
            </w:tcBorders>
            <w:shd w:fill="FFFFFF" w:val="clear"/>
            <w:vAlign w:val="center"/>
          </w:tcPr>
          <w:p>
            <w:pPr>
              <w:jc w:val="center"/>
            </w:pPr>
            <w:r>
              <w:rPr>
                <w:rFonts w:ascii="Times New Roman" w:cs="Times New Roman" w:eastAsia="Times New Roman" w:hAnsi="Times New Roman"/>
                <w:color w:val="2D3329"/>
                <w:sz w:val="20"/>
                <w:szCs w:val="20"/>
              </w:rPr>
              <w:t xml:space="preserve">0.90</w:t>
            </w:r>
          </w:p>
        </w:tc>
      </w:tr>
      <w:tr>
        <w:tc>
          <w:tcPr>
            <w:tcBorders>
              <w:top w:val="single" w:color="4A5548" w:sz="1"/>
              <w:left w:val="single" w:color="4A5548" w:sz="1"/>
              <w:bottom w:val="single" w:color="4A5548" w:sz="1"/>
              <w:right w:val="single" w:color="4A5548" w:sz="1"/>
            </w:tcBorders>
            <w:shd w:fill="F8FAF7" w:val="clear"/>
            <w:vAlign w:val="center"/>
          </w:tcPr>
          <w:p>
            <w:pPr>
              <w:jc w:val="center"/>
            </w:pPr>
            <w:r>
              <w:rPr>
                <w:rFonts w:ascii="Times New Roman" w:cs="Times New Roman" w:eastAsia="Times New Roman" w:hAnsi="Times New Roman"/>
                <w:color w:val="2D3329"/>
                <w:sz w:val="20"/>
                <w:szCs w:val="20"/>
              </w:rPr>
              <w:t xml:space="preserve">Paper 8</w:t>
            </w:r>
          </w:p>
        </w:tc>
        <w:tc>
          <w:tcPr>
            <w:tcBorders>
              <w:top w:val="single" w:color="4A5548" w:sz="1"/>
              <w:left w:val="single" w:color="4A5548" w:sz="1"/>
              <w:bottom w:val="single" w:color="4A5548" w:sz="1"/>
              <w:right w:val="single" w:color="4A5548" w:sz="1"/>
            </w:tcBorders>
            <w:shd w:fill="F8FAF7" w:val="clear"/>
            <w:vAlign w:val="center"/>
          </w:tcPr>
          <w:p>
            <w:pPr>
              <w:jc w:val="center"/>
            </w:pPr>
            <w:r>
              <w:rPr>
                <w:rFonts w:ascii="Times New Roman" w:cs="Times New Roman" w:eastAsia="Times New Roman" w:hAnsi="Times New Roman"/>
                <w:color w:val="2D3329"/>
                <w:sz w:val="20"/>
                <w:szCs w:val="20"/>
              </w:rPr>
              <w:t xml:space="preserve">LongFormer (Puppet)</w:t>
            </w:r>
          </w:p>
        </w:tc>
        <w:tc>
          <w:tcPr>
            <w:tcBorders>
              <w:top w:val="single" w:color="4A5548" w:sz="1"/>
              <w:left w:val="single" w:color="4A5548" w:sz="1"/>
              <w:bottom w:val="single" w:color="4A5548" w:sz="1"/>
              <w:right w:val="single" w:color="4A5548" w:sz="1"/>
            </w:tcBorders>
            <w:shd w:fill="F8FAF7" w:val="clear"/>
            <w:vAlign w:val="center"/>
          </w:tcPr>
          <w:p>
            <w:pPr>
              <w:jc w:val="center"/>
            </w:pPr>
            <w:r>
              <w:rPr>
                <w:rFonts w:ascii="Times New Roman" w:cs="Times New Roman" w:eastAsia="Times New Roman" w:hAnsi="Times New Roman"/>
                <w:color w:val="2D3329"/>
                <w:sz w:val="20"/>
                <w:szCs w:val="20"/>
              </w:rPr>
              <w:t xml:space="preserve">0.87</w:t>
            </w:r>
          </w:p>
        </w:tc>
        <w:tc>
          <w:tcPr>
            <w:tcBorders>
              <w:top w:val="single" w:color="4A5548" w:sz="1"/>
              <w:left w:val="single" w:color="4A5548" w:sz="1"/>
              <w:bottom w:val="single" w:color="4A5548" w:sz="1"/>
              <w:right w:val="single" w:color="4A5548" w:sz="1"/>
            </w:tcBorders>
            <w:shd w:fill="F8FAF7" w:val="clear"/>
            <w:vAlign w:val="center"/>
          </w:tcPr>
          <w:p>
            <w:pPr>
              <w:jc w:val="center"/>
            </w:pPr>
            <w:r>
              <w:rPr>
                <w:rFonts w:ascii="Times New Roman" w:cs="Times New Roman" w:eastAsia="Times New Roman" w:hAnsi="Times New Roman"/>
                <w:color w:val="2D3329"/>
                <w:sz w:val="20"/>
                <w:szCs w:val="20"/>
              </w:rPr>
              <w:t xml:space="preserve">0.75</w:t>
            </w:r>
          </w:p>
        </w:tc>
        <w:tc>
          <w:tcPr>
            <w:tcBorders>
              <w:top w:val="single" w:color="4A5548" w:sz="1"/>
              <w:left w:val="single" w:color="4A5548" w:sz="1"/>
              <w:bottom w:val="single" w:color="4A5548" w:sz="1"/>
              <w:right w:val="single" w:color="4A5548" w:sz="1"/>
            </w:tcBorders>
            <w:shd w:fill="F8FAF7" w:val="clear"/>
            <w:vAlign w:val="center"/>
          </w:tcPr>
          <w:p>
            <w:pPr>
              <w:jc w:val="center"/>
            </w:pPr>
            <w:r>
              <w:rPr>
                <w:rFonts w:ascii="Times New Roman" w:cs="Times New Roman" w:eastAsia="Times New Roman" w:hAnsi="Times New Roman"/>
                <w:color w:val="2D3329"/>
                <w:sz w:val="20"/>
                <w:szCs w:val="20"/>
              </w:rPr>
              <w:t xml:space="preserve">0.79</w:t>
            </w:r>
          </w:p>
        </w:tc>
      </w:tr>
      <w:tr>
        <w:tc>
          <w:tcPr>
            <w:tcBorders>
              <w:top w:val="single" w:color="4A5548" w:sz="1"/>
              <w:left w:val="single" w:color="4A5548" w:sz="1"/>
              <w:bottom w:val="single" w:color="4A5548" w:sz="1"/>
              <w:right w:val="single" w:color="4A5548" w:sz="1"/>
            </w:tcBorders>
            <w:shd w:fill="FFFFFF" w:val="clear"/>
            <w:vAlign w:val="center"/>
          </w:tcPr>
          <w:p>
            <w:pPr>
              <w:jc w:val="center"/>
            </w:pPr>
            <w:r>
              <w:rPr>
                <w:rFonts w:ascii="Times New Roman" w:cs="Times New Roman" w:eastAsia="Times New Roman" w:hAnsi="Times New Roman"/>
                <w:color w:val="2D3329"/>
                <w:sz w:val="20"/>
                <w:szCs w:val="20"/>
              </w:rPr>
              <w:t xml:space="preserve">Paper 9</w:t>
            </w:r>
          </w:p>
        </w:tc>
        <w:tc>
          <w:tcPr>
            <w:tcBorders>
              <w:top w:val="single" w:color="4A5548" w:sz="1"/>
              <w:left w:val="single" w:color="4A5548" w:sz="1"/>
              <w:bottom w:val="single" w:color="4A5548" w:sz="1"/>
              <w:right w:val="single" w:color="4A5548" w:sz="1"/>
            </w:tcBorders>
            <w:shd w:fill="FFFFFF" w:val="clear"/>
            <w:vAlign w:val="center"/>
          </w:tcPr>
          <w:p>
            <w:pPr>
              <w:jc w:val="center"/>
            </w:pPr>
            <w:r>
              <w:rPr>
                <w:rFonts w:ascii="Times New Roman" w:cs="Times New Roman" w:eastAsia="Times New Roman" w:hAnsi="Times New Roman"/>
                <w:color w:val="2D3329"/>
                <w:sz w:val="20"/>
                <w:szCs w:val="20"/>
              </w:rPr>
              <w:t xml:space="preserve">CodeLlama (fine-tuned)</w:t>
            </w:r>
          </w:p>
        </w:tc>
        <w:tc>
          <w:tcPr>
            <w:tcBorders>
              <w:top w:val="single" w:color="4A5548" w:sz="1"/>
              <w:left w:val="single" w:color="4A5548" w:sz="1"/>
              <w:bottom w:val="single" w:color="4A5548" w:sz="1"/>
              <w:right w:val="single" w:color="4A5548" w:sz="1"/>
            </w:tcBorders>
            <w:shd w:fill="FFFFFF" w:val="clear"/>
            <w:vAlign w:val="center"/>
          </w:tcPr>
          <w:p>
            <w:pPr>
              <w:jc w:val="center"/>
            </w:pPr>
            <w:r>
              <w:rPr>
                <w:rFonts w:ascii="Times New Roman" w:cs="Times New Roman" w:eastAsia="Times New Roman" w:hAnsi="Times New Roman"/>
                <w:color w:val="2D3329"/>
                <w:sz w:val="20"/>
                <w:szCs w:val="20"/>
              </w:rPr>
              <w:t xml:space="preserve">0.77+</w:t>
            </w:r>
          </w:p>
        </w:tc>
        <w:tc>
          <w:tcPr>
            <w:tcBorders>
              <w:top w:val="single" w:color="4A5548" w:sz="1"/>
              <w:left w:val="single" w:color="4A5548" w:sz="1"/>
              <w:bottom w:val="single" w:color="4A5548" w:sz="1"/>
              <w:right w:val="single" w:color="4A5548" w:sz="1"/>
            </w:tcBorders>
            <w:shd w:fill="FFFFFF" w:val="clear"/>
            <w:vAlign w:val="center"/>
          </w:tcPr>
          <w:p>
            <w:pPr>
              <w:jc w:val="center"/>
            </w:pPr>
            <w:r>
              <w:rPr>
                <w:rFonts w:ascii="Times New Roman" w:cs="Times New Roman" w:eastAsia="Times New Roman" w:hAnsi="Times New Roman"/>
                <w:color w:val="2D3329"/>
                <w:sz w:val="20"/>
                <w:szCs w:val="20"/>
              </w:rPr>
              <w:t xml:space="preserve">-</w:t>
            </w:r>
          </w:p>
        </w:tc>
        <w:tc>
          <w:tcPr>
            <w:tcBorders>
              <w:top w:val="single" w:color="4A5548" w:sz="1"/>
              <w:left w:val="single" w:color="4A5548" w:sz="1"/>
              <w:bottom w:val="single" w:color="4A5548" w:sz="1"/>
              <w:right w:val="single" w:color="4A5548" w:sz="1"/>
            </w:tcBorders>
            <w:shd w:fill="FFFFFF" w:val="clear"/>
            <w:vAlign w:val="center"/>
          </w:tcPr>
          <w:p>
            <w:pPr>
              <w:jc w:val="center"/>
            </w:pPr>
            <w:r>
              <w:rPr>
                <w:rFonts w:ascii="Times New Roman" w:cs="Times New Roman" w:eastAsia="Times New Roman" w:hAnsi="Times New Roman"/>
                <w:color w:val="2D3329"/>
                <w:sz w:val="20"/>
                <w:szCs w:val="20"/>
              </w:rPr>
              <w:t xml:space="preserve">0.77-0.86</w:t>
            </w:r>
          </w:p>
        </w:tc>
      </w:tr>
    </w:tbl>
    <w:p>
      <w:pPr>
        <w:spacing w:after="200" w:before="60"/>
        <w:jc w:val="center"/>
      </w:pPr>
      <w:r>
        <w:rPr>
          <w:rFonts w:ascii="Times New Roman" w:cs="Times New Roman" w:eastAsia="Times New Roman" w:hAnsi="Times New Roman"/>
          <w:i/>
          <w:iCs/>
          <w:color w:val="4A5548"/>
          <w:sz w:val="18"/>
          <w:szCs w:val="18"/>
        </w:rPr>
        <w:t xml:space="preserve">Table 1: Performance Comparison of Detection Approaches</w:t>
      </w:r>
    </w:p>
    <w:p>
      <w:pPr>
        <w:pStyle w:val="Heading2"/>
        <w:spacing w:after="160" w:before="280" w:line="250"/>
      </w:pPr>
      <w:r>
        <w:rPr>
          <w:rFonts w:ascii="Times New Roman" w:cs="Times New Roman" w:eastAsia="Times New Roman" w:hAnsi="Times New Roman"/>
          <w:b/>
          <w:bCs/>
          <w:color w:val="4A5548"/>
          <w:sz w:val="28"/>
          <w:szCs w:val="28"/>
        </w:rPr>
        <w:t xml:space="preserve">3.3 Taxonomy Evolution</w:t>
      </w:r>
    </w:p>
    <w:p>
      <w:pPr>
        <w:spacing w:after="120" w:before="120" w:line="250"/>
        <w:ind w:firstLine="0"/>
        <w:jc w:val="both"/>
      </w:pPr>
      <w:r>
        <w:rPr>
          <w:rFonts w:ascii="Times New Roman" w:cs="Times New Roman" w:eastAsia="Times New Roman" w:hAnsi="Times New Roman"/>
          <w:color w:val="2D3329"/>
          <w:sz w:val="22"/>
          <w:szCs w:val="22"/>
        </w:rPr>
        <w:t xml:space="preserve">The security smell taxonomies have evolved significantly over time:</w:t>
      </w:r>
    </w:p>
    <w:p>
      <w:pPr>
        <w:pStyle w:val="ListParagraph"/>
        <w:numPr>
          <w:ilvl w:val="0"/>
          <w:numId w:val="2"/>
        </w:numPr>
        <w:spacing w:after="60" w:before="60" w:line="250"/>
      </w:pPr>
      <w:r>
        <w:rPr>
          <w:rFonts w:ascii="Times New Roman" w:cs="Times New Roman" w:eastAsia="Times New Roman" w:hAnsi="Times New Roman"/>
          <w:color w:val="2D3329"/>
          <w:sz w:val="22"/>
          <w:szCs w:val="22"/>
        </w:rPr>
        <w:t xml:space="preserve">Original Seven Sins (2019): Rahman et al. identified 7 security smell categories for Puppet scripts</w:t>
      </w:r>
    </w:p>
    <w:p>
      <w:pPr>
        <w:pStyle w:val="ListParagraph"/>
        <w:numPr>
          <w:ilvl w:val="0"/>
          <w:numId w:val="2"/>
        </w:numPr>
        <w:spacing w:after="60" w:before="60" w:line="250"/>
      </w:pPr>
      <w:r>
        <w:rPr>
          <w:rFonts w:ascii="Times New Roman" w:cs="Times New Roman" w:eastAsia="Times New Roman" w:hAnsi="Times New Roman"/>
          <w:color w:val="2D3329"/>
          <w:sz w:val="22"/>
          <w:szCs w:val="22"/>
        </w:rPr>
        <w:t xml:space="preserve">Gang of Eight (2020): Expanded to 8 defect categories across multiple dimensions</w:t>
      </w:r>
    </w:p>
    <w:p>
      <w:pPr>
        <w:pStyle w:val="ListParagraph"/>
        <w:numPr>
          <w:ilvl w:val="0"/>
          <w:numId w:val="2"/>
        </w:numPr>
        <w:spacing w:after="60" w:before="60" w:line="250"/>
      </w:pPr>
      <w:r>
        <w:rPr>
          <w:rFonts w:ascii="Times New Roman" w:cs="Times New Roman" w:eastAsia="Times New Roman" w:hAnsi="Times New Roman"/>
          <w:color w:val="2D3329"/>
          <w:sz w:val="22"/>
          <w:szCs w:val="22"/>
        </w:rPr>
        <w:t xml:space="preserve">GLITCH Nine (2022): Defined 9 security smell types for polyglot detection</w:t>
      </w:r>
    </w:p>
    <w:p>
      <w:pPr>
        <w:pStyle w:val="ListParagraph"/>
        <w:numPr>
          <w:ilvl w:val="0"/>
          <w:numId w:val="2"/>
        </w:numPr>
        <w:spacing w:after="60" w:before="60" w:line="250"/>
      </w:pPr>
      <w:r>
        <w:rPr>
          <w:rFonts w:ascii="Times New Roman" w:cs="Times New Roman" w:eastAsia="Times New Roman" w:hAnsi="Times New Roman"/>
          <w:color w:val="2D3329"/>
          <w:sz w:val="22"/>
          <w:szCs w:val="22"/>
        </w:rPr>
        <w:t xml:space="preserve">Extended 62 Categories (2025): Paper 7 significantly expanded to 62 fine-grained security smell categories</w:t>
      </w:r>
    </w:p>
    <w:p>
      <w:pPr>
        <w:pStyle w:val="Heading1"/>
        <w:spacing w:after="200" w:before="360" w:line="250"/>
      </w:pPr>
      <w:r>
        <w:rPr>
          <w:rFonts w:ascii="Times New Roman" w:cs="Times New Roman" w:eastAsia="Times New Roman" w:hAnsi="Times New Roman"/>
          <w:b/>
          <w:bCs/>
          <w:color w:val="1A1F16"/>
          <w:sz w:val="32"/>
          <w:szCs w:val="32"/>
        </w:rPr>
        <w:t xml:space="preserve">4. Proposed Framework</w:t>
      </w:r>
    </w:p>
    <w:p>
      <w:pPr>
        <w:spacing w:after="120" w:before="120" w:line="250"/>
        <w:ind w:firstLine="0"/>
        <w:jc w:val="both"/>
      </w:pPr>
      <w:r>
        <w:rPr>
          <w:rFonts w:ascii="Times New Roman" w:cs="Times New Roman" w:eastAsia="Times New Roman" w:hAnsi="Times New Roman"/>
          <w:color w:val="2D3329"/>
          <w:sz w:val="22"/>
          <w:szCs w:val="22"/>
        </w:rPr>
        <w:t xml:space="preserve">Based on the comprehensive analysis of the ten papers, we propose an integrated framework for security analysis in IaC and smart contracts that combines the strengths of multiple approaches.</w:t>
      </w:r>
    </w:p>
    <w:p>
      <w:pPr>
        <w:pStyle w:val="Heading2"/>
        <w:spacing w:after="160" w:before="280" w:line="250"/>
      </w:pPr>
      <w:r>
        <w:rPr>
          <w:rFonts w:ascii="Times New Roman" w:cs="Times New Roman" w:eastAsia="Times New Roman" w:hAnsi="Times New Roman"/>
          <w:b/>
          <w:bCs/>
          <w:color w:val="4A5548"/>
          <w:sz w:val="28"/>
          <w:szCs w:val="28"/>
        </w:rPr>
        <w:t xml:space="preserve">4.1 Multi-Tier Security Analysis Pipeline</w:t>
      </w:r>
    </w:p>
    <w:p>
      <w:pPr>
        <w:spacing w:after="120" w:before="120" w:line="250"/>
        <w:ind w:firstLine="0"/>
        <w:jc w:val="both"/>
      </w:pPr>
      <w:r>
        <w:rPr>
          <w:rFonts w:ascii="Times New Roman" w:cs="Times New Roman" w:eastAsia="Times New Roman" w:hAnsi="Times New Roman"/>
          <w:color w:val="2D3329"/>
          <w:sz w:val="22"/>
          <w:szCs w:val="22"/>
        </w:rPr>
        <w:t xml:space="preserve">We propose a three-tier architecture for comprehensive security analysis:</w:t>
      </w:r>
    </w:p>
    <w:p>
      <w:pPr>
        <w:pStyle w:val="Heading3"/>
        <w:spacing w:after="120" w:before="200" w:line="250"/>
      </w:pPr>
      <w:r>
        <w:rPr>
          <w:rFonts w:ascii="Times New Roman" w:cs="Times New Roman" w:eastAsia="Times New Roman" w:hAnsi="Times New Roman"/>
          <w:b/>
          <w:bCs/>
          <w:color w:val="2D3329"/>
          <w:sz w:val="24"/>
          <w:szCs w:val="24"/>
        </w:rPr>
        <w:t xml:space="preserve">4.1.1 Tier 1: Fast Pattern Matching</w:t>
      </w:r>
    </w:p>
    <w:p>
      <w:pPr>
        <w:spacing w:after="120" w:before="120" w:line="250"/>
        <w:ind w:firstLine="0"/>
        <w:jc w:val="both"/>
      </w:pPr>
      <w:r>
        <w:rPr>
          <w:rFonts w:ascii="Times New Roman" w:cs="Times New Roman" w:eastAsia="Times New Roman" w:hAnsi="Times New Roman"/>
          <w:color w:val="2D3329"/>
          <w:sz w:val="22"/>
          <w:szCs w:val="22"/>
        </w:rPr>
        <w:t xml:space="preserve">The first tier employs rule-based static analysis for quick identification of known vulnerability patterns. This tier leverages intermediate representations (as demonstrated by GLITCH) for technology-agnostic detection across multiple IaC languages. Key components include pre-defined security rules based on CWE and OWASP classifications, intermediate representation transformation for polyglot support, and low-latency detection suitable for CI/CD integration.</w:t>
      </w:r>
    </w:p>
    <w:p>
      <w:pPr>
        <w:pStyle w:val="Heading3"/>
        <w:spacing w:after="120" w:before="200" w:line="250"/>
      </w:pPr>
      <w:r>
        <w:rPr>
          <w:rFonts w:ascii="Times New Roman" w:cs="Times New Roman" w:eastAsia="Times New Roman" w:hAnsi="Times New Roman"/>
          <w:b/>
          <w:bCs/>
          <w:color w:val="2D3329"/>
          <w:sz w:val="24"/>
          <w:szCs w:val="24"/>
        </w:rPr>
        <w:t xml:space="preserve">4.1.2 Tier 2: Semantic-Aware ML Detection</w:t>
      </w:r>
    </w:p>
    <w:p>
      <w:pPr>
        <w:spacing w:after="120" w:before="120" w:line="250"/>
        <w:ind w:firstLine="0"/>
        <w:jc w:val="both"/>
      </w:pPr>
      <w:r>
        <w:rPr>
          <w:rFonts w:ascii="Times New Roman" w:cs="Times New Roman" w:eastAsia="Times New Roman" w:hAnsi="Times New Roman"/>
          <w:color w:val="2D3329"/>
          <w:sz w:val="22"/>
          <w:szCs w:val="22"/>
        </w:rPr>
        <w:t xml:space="preserve">The second tier employs fine-tuned language models for deeper semantic analysis. This includes CodeBERT-based analysis for capturing code-text relationships, LongFormer for handling long-context scripts, and integration of natural language context (comments, documentation) for improved accuracy.</w:t>
      </w:r>
    </w:p>
    <w:p>
      <w:pPr>
        <w:pStyle w:val="Heading3"/>
        <w:spacing w:after="120" w:before="200" w:line="250"/>
      </w:pPr>
      <w:r>
        <w:rPr>
          <w:rFonts w:ascii="Times New Roman" w:cs="Times New Roman" w:eastAsia="Times New Roman" w:hAnsi="Times New Roman"/>
          <w:b/>
          <w:bCs/>
          <w:color w:val="2D3329"/>
          <w:sz w:val="24"/>
          <w:szCs w:val="24"/>
        </w:rPr>
        <w:t xml:space="preserve">4.1.3 Tier 3: LLM-Assisted Deep Analysis</w:t>
      </w:r>
    </w:p>
    <w:p>
      <w:pPr>
        <w:spacing w:after="120" w:before="120" w:line="250"/>
        <w:ind w:firstLine="0"/>
        <w:jc w:val="both"/>
      </w:pPr>
      <w:r>
        <w:rPr>
          <w:rFonts w:ascii="Times New Roman" w:cs="Times New Roman" w:eastAsia="Times New Roman" w:hAnsi="Times New Roman"/>
          <w:color w:val="2D3329"/>
          <w:sz w:val="22"/>
          <w:szCs w:val="22"/>
        </w:rPr>
        <w:t xml:space="preserve">The third tier leverages LLMs for comprehensive security review, including context-aware vulnerability reasoning, automated remediation suggestions, and cross-component security impact analysis.</w:t>
      </w:r>
    </w:p>
    <w:p>
      <w:pPr>
        <w:pStyle w:val="Heading2"/>
        <w:spacing w:after="160" w:before="280" w:line="250"/>
      </w:pPr>
      <w:r>
        <w:rPr>
          <w:rFonts w:ascii="Times New Roman" w:cs="Times New Roman" w:eastAsia="Times New Roman" w:hAnsi="Times New Roman"/>
          <w:b/>
          <w:bCs/>
          <w:color w:val="4A5548"/>
          <w:sz w:val="28"/>
          <w:szCs w:val="28"/>
        </w:rPr>
        <w:t xml:space="preserve">4.2 Fine-Tuning Dataset Construction</w:t>
      </w:r>
    </w:p>
    <w:p>
      <w:pPr>
        <w:spacing w:after="120" w:before="120" w:line="250"/>
        <w:ind w:firstLine="0"/>
        <w:jc w:val="both"/>
      </w:pPr>
      <w:r>
        <w:rPr>
          <w:rFonts w:ascii="Times New Roman" w:cs="Times New Roman" w:eastAsia="Times New Roman" w:hAnsi="Times New Roman"/>
          <w:color w:val="2D3329"/>
          <w:sz w:val="22"/>
          <w:szCs w:val="22"/>
        </w:rPr>
        <w:t xml:space="preserve">Drawing from Papers 5 and 9, we propose a systematic approach for constructing security-focused fine-tuning datasets:</w:t>
      </w:r>
    </w:p>
    <w:p>
      <w:pPr>
        <w:pStyle w:val="ListParagraph"/>
        <w:numPr>
          <w:ilvl w:val="0"/>
          <w:numId w:val="5"/>
        </w:numPr>
        <w:spacing w:after="120" w:before="120" w:line="250"/>
      </w:pPr>
      <w:r>
        <w:rPr>
          <w:rFonts w:ascii="Times New Roman" w:cs="Times New Roman" w:eastAsia="Times New Roman" w:hAnsi="Times New Roman"/>
          <w:b/>
          <w:bCs/>
          <w:color w:val="2D3329"/>
          <w:sz w:val="22"/>
          <w:szCs w:val="22"/>
        </w:rPr>
        <w:t xml:space="preserve">Source Collection: </w:t>
      </w:r>
      <w:r>
        <w:rPr>
          <w:rFonts w:ascii="Times New Roman" w:cs="Times New Roman" w:eastAsia="Times New Roman" w:hAnsi="Times New Roman"/>
          <w:color w:val="2D3329"/>
          <w:sz w:val="22"/>
          <w:szCs w:val="22"/>
        </w:rPr>
        <w:t xml:space="preserve">Aggregate vulnerability data from multiple sources including audit reports, CVE databases, and real-world incident reports</w:t>
      </w:r>
    </w:p>
    <w:p>
      <w:pPr>
        <w:pStyle w:val="ListParagraph"/>
        <w:numPr>
          <w:ilvl w:val="0"/>
          <w:numId w:val="5"/>
        </w:numPr>
        <w:spacing w:after="120" w:before="120" w:line="250"/>
      </w:pPr>
      <w:r>
        <w:rPr>
          <w:rFonts w:ascii="Times New Roman" w:cs="Times New Roman" w:eastAsia="Times New Roman" w:hAnsi="Times New Roman"/>
          <w:b/>
          <w:bCs/>
          <w:color w:val="2D3329"/>
          <w:sz w:val="22"/>
          <w:szCs w:val="22"/>
        </w:rPr>
        <w:t xml:space="preserve">LLM-Assisted Extraction: </w:t>
      </w:r>
      <w:r>
        <w:rPr>
          <w:rFonts w:ascii="Times New Roman" w:cs="Times New Roman" w:eastAsia="Times New Roman" w:hAnsi="Times New Roman"/>
          <w:color w:val="2D3329"/>
          <w:sz w:val="22"/>
          <w:szCs w:val="22"/>
        </w:rPr>
        <w:t xml:space="preserve">Use LLMs to extract structured vulnerability information from unstructured sources</w:t>
      </w:r>
    </w:p>
    <w:p>
      <w:pPr>
        <w:pStyle w:val="ListParagraph"/>
        <w:numPr>
          <w:ilvl w:val="0"/>
          <w:numId w:val="5"/>
        </w:numPr>
        <w:spacing w:after="120" w:before="120" w:line="250"/>
      </w:pPr>
      <w:r>
        <w:rPr>
          <w:rFonts w:ascii="Times New Roman" w:cs="Times New Roman" w:eastAsia="Times New Roman" w:hAnsi="Times New Roman"/>
          <w:b/>
          <w:bCs/>
          <w:color w:val="2D3329"/>
          <w:sz w:val="22"/>
          <w:szCs w:val="22"/>
        </w:rPr>
        <w:t xml:space="preserve">CWE Classification: </w:t>
      </w:r>
      <w:r>
        <w:rPr>
          <w:rFonts w:ascii="Times New Roman" w:cs="Times New Roman" w:eastAsia="Times New Roman" w:hAnsi="Times New Roman"/>
          <w:color w:val="2D3329"/>
          <w:sz w:val="22"/>
          <w:szCs w:val="22"/>
        </w:rPr>
        <w:t xml:space="preserve">Map vulnerabilities to the CWE hierarchy using tree-of-thought reasoning</w:t>
      </w:r>
    </w:p>
    <w:p>
      <w:pPr>
        <w:pStyle w:val="ListParagraph"/>
        <w:numPr>
          <w:ilvl w:val="0"/>
          <w:numId w:val="5"/>
        </w:numPr>
        <w:spacing w:after="120" w:before="120" w:line="250"/>
      </w:pPr>
      <w:r>
        <w:rPr>
          <w:rFonts w:ascii="Times New Roman" w:cs="Times New Roman" w:eastAsia="Times New Roman" w:hAnsi="Times New Roman"/>
          <w:b/>
          <w:bCs/>
          <w:color w:val="2D3329"/>
          <w:sz w:val="22"/>
          <w:szCs w:val="22"/>
        </w:rPr>
        <w:t xml:space="preserve">Human Validation: </w:t>
      </w:r>
      <w:r>
        <w:rPr>
          <w:rFonts w:ascii="Times New Roman" w:cs="Times New Roman" w:eastAsia="Times New Roman" w:hAnsi="Times New Roman"/>
          <w:color w:val="2D3329"/>
          <w:sz w:val="22"/>
          <w:szCs w:val="22"/>
        </w:rPr>
        <w:t xml:space="preserve">Implement systematic human validation with inter-rater agreement metrics</w:t>
      </w:r>
    </w:p>
    <w:p>
      <w:pPr>
        <w:pStyle w:val="ListParagraph"/>
        <w:numPr>
          <w:ilvl w:val="0"/>
          <w:numId w:val="5"/>
        </w:numPr>
        <w:spacing w:after="120" w:before="120" w:line="250"/>
      </w:pPr>
      <w:r>
        <w:rPr>
          <w:rFonts w:ascii="Times New Roman" w:cs="Times New Roman" w:eastAsia="Times New Roman" w:hAnsi="Times New Roman"/>
          <w:b/>
          <w:bCs/>
          <w:color w:val="2D3329"/>
          <w:sz w:val="22"/>
          <w:szCs w:val="22"/>
        </w:rPr>
        <w:t xml:space="preserve">Continuous Evolution: </w:t>
      </w:r>
      <w:r>
        <w:rPr>
          <w:rFonts w:ascii="Times New Roman" w:cs="Times New Roman" w:eastAsia="Times New Roman" w:hAnsi="Times New Roman"/>
          <w:color w:val="2D3329"/>
          <w:sz w:val="22"/>
          <w:szCs w:val="22"/>
        </w:rPr>
        <w:t xml:space="preserve">Design mechanisms for continuous dataset updates as new vulnerabilities emerge</w:t>
      </w:r>
    </w:p>
    <w:p>
      <w:pPr>
        <w:pStyle w:val="Heading1"/>
        <w:spacing w:after="200" w:before="360" w:line="250"/>
      </w:pPr>
      <w:r>
        <w:rPr>
          <w:rFonts w:ascii="Times New Roman" w:cs="Times New Roman" w:eastAsia="Times New Roman" w:hAnsi="Times New Roman"/>
          <w:b/>
          <w:bCs/>
          <w:color w:val="1A1F16"/>
          <w:sz w:val="32"/>
          <w:szCs w:val="32"/>
        </w:rPr>
        <w:t xml:space="preserve">5. Research Gaps and Future Directions</w:t>
      </w:r>
    </w:p>
    <w:p>
      <w:pPr>
        <w:pStyle w:val="Heading2"/>
        <w:spacing w:after="160" w:before="280" w:line="250"/>
      </w:pPr>
      <w:r>
        <w:rPr>
          <w:rFonts w:ascii="Times New Roman" w:cs="Times New Roman" w:eastAsia="Times New Roman" w:hAnsi="Times New Roman"/>
          <w:b/>
          <w:bCs/>
          <w:color w:val="4A5548"/>
          <w:sz w:val="28"/>
          <w:szCs w:val="28"/>
        </w:rPr>
        <w:t xml:space="preserve">5.1 Identified Research Gaps</w:t>
      </w:r>
    </w:p>
    <w:p>
      <w:pPr>
        <w:spacing w:after="120" w:before="120" w:line="250"/>
        <w:ind w:firstLine="0"/>
        <w:jc w:val="both"/>
      </w:pPr>
      <w:r>
        <w:rPr>
          <w:rFonts w:ascii="Times New Roman" w:cs="Times New Roman" w:eastAsia="Times New Roman" w:hAnsi="Times New Roman"/>
          <w:color w:val="2D3329"/>
          <w:sz w:val="22"/>
          <w:szCs w:val="22"/>
        </w:rPr>
        <w:t xml:space="preserve">Based on our analysis, we identify the following research gaps:</w:t>
      </w:r>
    </w:p>
    <w:p>
      <w:pPr>
        <w:pStyle w:val="ListParagraph"/>
        <w:numPr>
          <w:ilvl w:val="0"/>
          <w:numId w:val="5"/>
        </w:numPr>
        <w:spacing w:after="120" w:before="120" w:line="250"/>
      </w:pPr>
      <w:r>
        <w:rPr>
          <w:rFonts w:ascii="Times New Roman" w:cs="Times New Roman" w:eastAsia="Times New Roman" w:hAnsi="Times New Roman"/>
          <w:b/>
          <w:bCs/>
          <w:color w:val="2D3329"/>
          <w:sz w:val="22"/>
          <w:szCs w:val="22"/>
        </w:rPr>
        <w:t xml:space="preserve">Security in Agent Context Files: </w:t>
      </w:r>
      <w:r>
        <w:rPr>
          <w:rFonts w:ascii="Times New Roman" w:cs="Times New Roman" w:eastAsia="Times New Roman" w:hAnsi="Times New Roman"/>
          <w:color w:val="2D3329"/>
          <w:sz w:val="22"/>
          <w:szCs w:val="22"/>
        </w:rPr>
        <w:t xml:space="preserve">Paper 10 reveals that security requirements are specified in only 14.5% of agent context files, indicating a critical gap in agentic coding practices.</w:t>
      </w:r>
    </w:p>
    <w:p>
      <w:pPr>
        <w:pStyle w:val="ListParagraph"/>
        <w:numPr>
          <w:ilvl w:val="0"/>
          <w:numId w:val="5"/>
        </w:numPr>
        <w:spacing w:after="120" w:before="120" w:line="250"/>
      </w:pPr>
      <w:r>
        <w:rPr>
          <w:rFonts w:ascii="Times New Roman" w:cs="Times New Roman" w:eastAsia="Times New Roman" w:hAnsi="Times New Roman"/>
          <w:b/>
          <w:bCs/>
          <w:color w:val="2D3329"/>
          <w:sz w:val="22"/>
          <w:szCs w:val="22"/>
        </w:rPr>
        <w:t xml:space="preserve">Cross-Platform Security Consistency: </w:t>
      </w:r>
      <w:r>
        <w:rPr>
          <w:rFonts w:ascii="Times New Roman" w:cs="Times New Roman" w:eastAsia="Times New Roman" w:hAnsi="Times New Roman"/>
          <w:color w:val="2D3329"/>
          <w:sz w:val="22"/>
          <w:szCs w:val="22"/>
        </w:rPr>
        <w:t xml:space="preserve">While GLITCH addresses polyglot detection, there remains a need for consistent security analysis across the entire DevOps toolchain.</w:t>
      </w:r>
    </w:p>
    <w:p>
      <w:pPr>
        <w:pStyle w:val="ListParagraph"/>
        <w:numPr>
          <w:ilvl w:val="0"/>
          <w:numId w:val="5"/>
        </w:numPr>
        <w:spacing w:after="120" w:before="120" w:line="250"/>
      </w:pPr>
      <w:r>
        <w:rPr>
          <w:rFonts w:ascii="Times New Roman" w:cs="Times New Roman" w:eastAsia="Times New Roman" w:hAnsi="Times New Roman"/>
          <w:b/>
          <w:bCs/>
          <w:color w:val="2D3329"/>
          <w:sz w:val="22"/>
          <w:szCs w:val="22"/>
        </w:rPr>
        <w:t xml:space="preserve">Real-Time Security Feedback: </w:t>
      </w:r>
      <w:r>
        <w:rPr>
          <w:rFonts w:ascii="Times New Roman" w:cs="Times New Roman" w:eastAsia="Times New Roman" w:hAnsi="Times New Roman"/>
          <w:color w:val="2D3329"/>
          <w:sz w:val="22"/>
          <w:szCs w:val="22"/>
        </w:rPr>
        <w:t xml:space="preserve">Current approaches focus on batch analysis; real-time security feedback during code development remains underexplored.</w:t>
      </w:r>
    </w:p>
    <w:p>
      <w:pPr>
        <w:pStyle w:val="ListParagraph"/>
        <w:numPr>
          <w:ilvl w:val="0"/>
          <w:numId w:val="5"/>
        </w:numPr>
        <w:spacing w:after="120" w:before="120" w:line="250"/>
      </w:pPr>
      <w:r>
        <w:rPr>
          <w:rFonts w:ascii="Times New Roman" w:cs="Times New Roman" w:eastAsia="Times New Roman" w:hAnsi="Times New Roman"/>
          <w:b/>
          <w:bCs/>
          <w:color w:val="2D3329"/>
          <w:sz w:val="22"/>
          <w:szCs w:val="22"/>
        </w:rPr>
        <w:t xml:space="preserve">Automated Remediation Quality: </w:t>
      </w:r>
      <w:r>
        <w:rPr>
          <w:rFonts w:ascii="Times New Roman" w:cs="Times New Roman" w:eastAsia="Times New Roman" w:hAnsi="Times New Roman"/>
          <w:color w:val="2D3329"/>
          <w:sz w:val="22"/>
          <w:szCs w:val="22"/>
        </w:rPr>
        <w:t xml:space="preserve">While LLMs can suggest remediations, the quality and security of automated fixes require further validation.</w:t>
      </w:r>
    </w:p>
    <w:p>
      <w:pPr>
        <w:pStyle w:val="ListParagraph"/>
        <w:numPr>
          <w:ilvl w:val="0"/>
          <w:numId w:val="5"/>
        </w:numPr>
        <w:spacing w:after="120" w:before="120" w:line="250"/>
      </w:pPr>
      <w:r>
        <w:rPr>
          <w:rFonts w:ascii="Times New Roman" w:cs="Times New Roman" w:eastAsia="Times New Roman" w:hAnsi="Times New Roman"/>
          <w:b/>
          <w:bCs/>
          <w:color w:val="2D3329"/>
          <w:sz w:val="22"/>
          <w:szCs w:val="22"/>
        </w:rPr>
        <w:t xml:space="preserve">Domain-Specific Vulnerability Patterns: </w:t>
      </w:r>
      <w:r>
        <w:rPr>
          <w:rFonts w:ascii="Times New Roman" w:cs="Times New Roman" w:eastAsia="Times New Roman" w:hAnsi="Times New Roman"/>
          <w:color w:val="2D3329"/>
          <w:sz w:val="22"/>
          <w:szCs w:val="22"/>
        </w:rPr>
        <w:t xml:space="preserve">Cloud-native, containerized, and serverless environments may have unique vulnerability patterns not fully captured by existing taxonomies.</w:t>
      </w:r>
    </w:p>
    <w:p>
      <w:pPr>
        <w:pStyle w:val="Heading2"/>
        <w:spacing w:after="160" w:before="280" w:line="250"/>
      </w:pPr>
      <w:r>
        <w:rPr>
          <w:rFonts w:ascii="Times New Roman" w:cs="Times New Roman" w:eastAsia="Times New Roman" w:hAnsi="Times New Roman"/>
          <w:b/>
          <w:bCs/>
          <w:color w:val="4A5548"/>
          <w:sz w:val="28"/>
          <w:szCs w:val="28"/>
        </w:rPr>
        <w:t xml:space="preserve">5.2 Proposed Future Research Directions</w:t>
      </w:r>
    </w:p>
    <w:p>
      <w:pPr>
        <w:pStyle w:val="Heading3"/>
        <w:spacing w:after="120" w:before="200" w:line="250"/>
      </w:pPr>
      <w:r>
        <w:rPr>
          <w:rFonts w:ascii="Times New Roman" w:cs="Times New Roman" w:eastAsia="Times New Roman" w:hAnsi="Times New Roman"/>
          <w:b/>
          <w:bCs/>
          <w:color w:val="2D3329"/>
          <w:sz w:val="24"/>
          <w:szCs w:val="24"/>
        </w:rPr>
        <w:t xml:space="preserve">Security-Aware LLM Fine-Tuning</w:t>
      </w:r>
    </w:p>
    <w:p>
      <w:pPr>
        <w:spacing w:after="120" w:before="120" w:line="250"/>
        <w:ind w:firstLine="0"/>
        <w:jc w:val="both"/>
      </w:pPr>
      <w:r>
        <w:rPr>
          <w:rFonts w:ascii="Times New Roman" w:cs="Times New Roman" w:eastAsia="Times New Roman" w:hAnsi="Times New Roman"/>
          <w:color w:val="2D3329"/>
          <w:sz w:val="22"/>
          <w:szCs w:val="22"/>
        </w:rPr>
        <w:t xml:space="preserve">Develop comprehensive fine-tuning datasets and methodologies specifically designed for IaC and smart contract security, extending the work of GenSIaC and Forge.</w:t>
      </w:r>
    </w:p>
    <w:p>
      <w:pPr>
        <w:pStyle w:val="Heading3"/>
        <w:spacing w:after="120" w:before="200" w:line="250"/>
      </w:pPr>
      <w:r>
        <w:rPr>
          <w:rFonts w:ascii="Times New Roman" w:cs="Times New Roman" w:eastAsia="Times New Roman" w:hAnsi="Times New Roman"/>
          <w:b/>
          <w:bCs/>
          <w:color w:val="2D3329"/>
          <w:sz w:val="24"/>
          <w:szCs w:val="24"/>
        </w:rPr>
        <w:t xml:space="preserve">Hybrid Detection Frameworks</w:t>
      </w:r>
    </w:p>
    <w:p>
      <w:pPr>
        <w:spacing w:after="120" w:before="120" w:line="250"/>
        <w:ind w:firstLine="0"/>
        <w:jc w:val="both"/>
      </w:pPr>
      <w:r>
        <w:rPr>
          <w:rFonts w:ascii="Times New Roman" w:cs="Times New Roman" w:eastAsia="Times New Roman" w:hAnsi="Times New Roman"/>
          <w:color w:val="2D3329"/>
          <w:sz w:val="22"/>
          <w:szCs w:val="22"/>
        </w:rPr>
        <w:t xml:space="preserve">Research optimal combinations of rule-based, ML-based, and LLM-based approaches for different use cases and performance requirements.</w:t>
      </w:r>
    </w:p>
    <w:p>
      <w:pPr>
        <w:pStyle w:val="Heading3"/>
        <w:spacing w:after="120" w:before="200" w:line="250"/>
      </w:pPr>
      <w:r>
        <w:rPr>
          <w:rFonts w:ascii="Times New Roman" w:cs="Times New Roman" w:eastAsia="Times New Roman" w:hAnsi="Times New Roman"/>
          <w:b/>
          <w:bCs/>
          <w:color w:val="2D3329"/>
          <w:sz w:val="24"/>
          <w:szCs w:val="24"/>
        </w:rPr>
        <w:t xml:space="preserve">Continuous Security Learning</w:t>
      </w:r>
    </w:p>
    <w:p>
      <w:pPr>
        <w:spacing w:after="120" w:before="120" w:line="250"/>
        <w:ind w:firstLine="0"/>
        <w:jc w:val="both"/>
      </w:pPr>
      <w:r>
        <w:rPr>
          <w:rFonts w:ascii="Times New Roman" w:cs="Times New Roman" w:eastAsia="Times New Roman" w:hAnsi="Times New Roman"/>
          <w:color w:val="2D3329"/>
          <w:sz w:val="22"/>
          <w:szCs w:val="22"/>
        </w:rPr>
        <w:t xml:space="preserve">Develop mechanisms for security tools to continuously learn from new vulnerabilities and adapt detection patterns without manual intervention.</w:t>
      </w:r>
    </w:p>
    <w:p>
      <w:pPr>
        <w:pStyle w:val="Heading3"/>
        <w:spacing w:after="120" w:before="200" w:line="250"/>
      </w:pPr>
      <w:r>
        <w:rPr>
          <w:rFonts w:ascii="Times New Roman" w:cs="Times New Roman" w:eastAsia="Times New Roman" w:hAnsi="Times New Roman"/>
          <w:b/>
          <w:bCs/>
          <w:color w:val="2D3329"/>
          <w:sz w:val="24"/>
          <w:szCs w:val="24"/>
        </w:rPr>
        <w:t xml:space="preserve">Developer-Centric Security Tools</w:t>
      </w:r>
    </w:p>
    <w:p>
      <w:pPr>
        <w:spacing w:after="120" w:before="120" w:line="250"/>
        <w:ind w:firstLine="0"/>
        <w:jc w:val="both"/>
      </w:pPr>
      <w:r>
        <w:rPr>
          <w:rFonts w:ascii="Times New Roman" w:cs="Times New Roman" w:eastAsia="Times New Roman" w:hAnsi="Times New Roman"/>
          <w:color w:val="2D3329"/>
          <w:sz w:val="22"/>
          <w:szCs w:val="22"/>
        </w:rPr>
        <w:t xml:space="preserve">Focus on improving developer experience with security tools, reducing false positive fatigue, and providing actionable remediation guidance.</w:t>
      </w:r>
    </w:p>
    <w:p>
      <w:pPr>
        <w:pStyle w:val="Heading1"/>
        <w:spacing w:after="200" w:before="360" w:line="250"/>
      </w:pPr>
      <w:r>
        <w:rPr>
          <w:rFonts w:ascii="Times New Roman" w:cs="Times New Roman" w:eastAsia="Times New Roman" w:hAnsi="Times New Roman"/>
          <w:b/>
          <w:bCs/>
          <w:color w:val="1A1F16"/>
          <w:sz w:val="32"/>
          <w:szCs w:val="32"/>
        </w:rPr>
        <w:t xml:space="preserve">6. Conclusion</w:t>
      </w:r>
    </w:p>
    <w:p>
      <w:pPr>
        <w:spacing w:after="120" w:before="120" w:line="250"/>
        <w:ind w:firstLine="0"/>
        <w:jc w:val="both"/>
      </w:pPr>
      <w:r>
        <w:rPr>
          <w:rFonts w:ascii="Times New Roman" w:cs="Times New Roman" w:eastAsia="Times New Roman" w:hAnsi="Times New Roman"/>
          <w:color w:val="2D3329"/>
          <w:sz w:val="22"/>
          <w:szCs w:val="22"/>
        </w:rPr>
        <w:t xml:space="preserve">This bibliographic report has analyzed ten significant research papers addressing security challenges in Infrastructure-as-Code and smart contracts. The analysis reveals a clear evolution from rule-based static analysis toward sophisticated LLM-based approaches, while highlighting the continued importance of traditional tools for high-assurance verification.</w:t>
      </w:r>
    </w:p>
    <w:p>
      <w:pPr>
        <w:spacing w:after="120" w:before="120" w:line="250"/>
        <w:ind w:firstLine="0"/>
        <w:jc w:val="both"/>
      </w:pPr>
      <w:r>
        <w:rPr>
          <w:rFonts w:ascii="Times New Roman" w:cs="Times New Roman" w:eastAsia="Times New Roman" w:hAnsi="Times New Roman"/>
          <w:color w:val="2D3329"/>
          <w:sz w:val="22"/>
          <w:szCs w:val="22"/>
        </w:rPr>
        <w:t xml:space="preserve">Key findings include: (1) LLMs demonstrate superior recall compared to traditional static analysis tools but require careful management of false positives; (2) Semantic-aware approaches significantly improve detection accuracy; (3) Fine-tuning with domain-specific datasets substantially improves LLM performance for security tasks; (4) Security requirements are underrepresented in developer practices, particularly in agentic coding contexts; and (5) A multi-tier approach combining the strengths of different methods appears most promising.</w:t>
      </w:r>
    </w:p>
    <w:p>
      <w:pPr>
        <w:spacing w:after="120" w:before="120" w:line="250"/>
        <w:ind w:firstLine="0"/>
        <w:jc w:val="both"/>
      </w:pPr>
      <w:r>
        <w:rPr>
          <w:rFonts w:ascii="Times New Roman" w:cs="Times New Roman" w:eastAsia="Times New Roman" w:hAnsi="Times New Roman"/>
          <w:color w:val="2D3329"/>
          <w:sz w:val="22"/>
          <w:szCs w:val="22"/>
        </w:rPr>
        <w:t xml:space="preserve">The proposed framework integrates rule-based detection, semantic-aware ML analysis, and LLM-assisted deep analysis into a comprehensive security pipeline. Future research should focus on security-aware LLM fine-tuning, hybrid detection frameworks, and developer-centric security tools.</w:t>
      </w:r>
    </w:p>
    <w:p>
      <w:pPr>
        <w:pStyle w:val="Heading1"/>
        <w:spacing w:after="200" w:before="360" w:line="250"/>
      </w:pPr>
      <w:r>
        <w:rPr>
          <w:rFonts w:ascii="Times New Roman" w:cs="Times New Roman" w:eastAsia="Times New Roman" w:hAnsi="Times New Roman"/>
          <w:b/>
          <w:bCs/>
          <w:color w:val="1A1F16"/>
          <w:sz w:val="32"/>
          <w:szCs w:val="32"/>
        </w:rPr>
        <w:t xml:space="preserve">References</w:t>
      </w:r>
    </w:p>
    <w:p>
      <w:pPr>
        <w:spacing w:after="120" w:before="120" w:line="250"/>
        <w:ind w:left="360" w:hanging="360"/>
      </w:pPr>
      <w:r>
        <w:rPr>
          <w:rFonts w:ascii="Times New Roman" w:cs="Times New Roman" w:eastAsia="Times New Roman" w:hAnsi="Times New Roman"/>
          <w:color w:val="2D3329"/>
          <w:sz w:val="20"/>
          <w:szCs w:val="20"/>
        </w:rPr>
        <w:t xml:space="preserve">[1] War, A., Diallo, A., Habib, A., Klein, J., Bissyandé, T.F. (2025). Vulnerabilities in Infrastructure as Code: What, How Many, and Who? Empirical Software Engineering, 30:120.</w:t>
      </w:r>
    </w:p>
    <w:p>
      <w:pPr>
        <w:spacing w:after="120" w:before="120" w:line="250"/>
        <w:ind w:left="360" w:hanging="360"/>
      </w:pPr>
      <w:r>
        <w:rPr>
          <w:rFonts w:ascii="Times New Roman" w:cs="Times New Roman" w:eastAsia="Times New Roman" w:hAnsi="Times New Roman"/>
          <w:color w:val="2D3329"/>
          <w:sz w:val="20"/>
          <w:szCs w:val="20"/>
        </w:rPr>
        <w:t xml:space="preserve">[2] Saavedra, N., Ferreira, J.F. (2022). GLITCH: Automated Polyglot Security Smell Detection in Infrastructure as Code. IEEE/ACM ASE.</w:t>
      </w:r>
    </w:p>
    <w:p>
      <w:pPr>
        <w:spacing w:after="120" w:before="120" w:line="250"/>
        <w:ind w:left="360" w:hanging="360"/>
      </w:pPr>
      <w:r>
        <w:rPr>
          <w:rFonts w:ascii="Times New Roman" w:cs="Times New Roman" w:eastAsia="Times New Roman" w:hAnsi="Times New Roman"/>
          <w:color w:val="2D3329"/>
          <w:sz w:val="20"/>
          <w:szCs w:val="20"/>
        </w:rPr>
        <w:t xml:space="preserve">[3] Zheng, Z., et al. (2024). DAppSCAN: Building Large-Scale Datasets for Smart Contract Weaknesses. IEEE TSE, 50(6).</w:t>
      </w:r>
    </w:p>
    <w:p>
      <w:pPr>
        <w:spacing w:after="120" w:before="120" w:line="250"/>
        <w:ind w:left="360" w:hanging="360"/>
      </w:pPr>
      <w:r>
        <w:rPr>
          <w:rFonts w:ascii="Times New Roman" w:cs="Times New Roman" w:eastAsia="Times New Roman" w:hAnsi="Times New Roman"/>
          <w:color w:val="2D3329"/>
          <w:sz w:val="20"/>
          <w:szCs w:val="20"/>
        </w:rPr>
        <w:t xml:space="preserve">[4] Oliveira, W., et al. (2025). A Defect Taxonomy for Infrastructure as Code: A Replication Study. arXiv:2505.01568v3.</w:t>
      </w:r>
    </w:p>
    <w:p>
      <w:pPr>
        <w:spacing w:after="120" w:before="120" w:line="250"/>
        <w:ind w:left="360" w:hanging="360"/>
      </w:pPr>
      <w:r>
        <w:rPr>
          <w:rFonts w:ascii="Times New Roman" w:cs="Times New Roman" w:eastAsia="Times New Roman" w:hAnsi="Times New Roman"/>
          <w:color w:val="2D3329"/>
          <w:sz w:val="20"/>
          <w:szCs w:val="20"/>
        </w:rPr>
        <w:t xml:space="preserve">[5] Chen, J., et al. (2026). Forge: An LLM-driven Framework for Smart Contract Vulnerability Dataset Construction. IEEE/ACM ICSE.</w:t>
      </w:r>
    </w:p>
    <w:p>
      <w:pPr>
        <w:spacing w:after="120" w:before="120" w:line="250"/>
        <w:ind w:left="360" w:hanging="360"/>
      </w:pPr>
      <w:r>
        <w:rPr>
          <w:rFonts w:ascii="Times New Roman" w:cs="Times New Roman" w:eastAsia="Times New Roman" w:hAnsi="Times New Roman"/>
          <w:color w:val="2D3329"/>
          <w:sz w:val="20"/>
          <w:szCs w:val="20"/>
        </w:rPr>
        <w:t xml:space="preserve">[6] Gnieciak, D., Szandala, T. (2025). Large Language Models Versus Static Code Analysis Tools. IEEE Access.</w:t>
      </w:r>
    </w:p>
    <w:p>
      <w:pPr>
        <w:spacing w:after="120" w:before="120" w:line="250"/>
        <w:ind w:left="360" w:hanging="360"/>
      </w:pPr>
      <w:r>
        <w:rPr>
          <w:rFonts w:ascii="Times New Roman" w:cs="Times New Roman" w:eastAsia="Times New Roman" w:hAnsi="Times New Roman"/>
          <w:color w:val="2D3329"/>
          <w:sz w:val="20"/>
          <w:szCs w:val="20"/>
        </w:rPr>
        <w:t xml:space="preserve">[7] War, A., et al. (2025). Security Smells in Infrastructure as Code Scripts: A Taxonomy Update. arXiv:2509.18761v1.</w:t>
      </w:r>
    </w:p>
    <w:p>
      <w:pPr>
        <w:spacing w:after="120" w:before="120" w:line="250"/>
        <w:ind w:left="360" w:hanging="360"/>
      </w:pPr>
      <w:r>
        <w:rPr>
          <w:rFonts w:ascii="Times New Roman" w:cs="Times New Roman" w:eastAsia="Times New Roman" w:hAnsi="Times New Roman"/>
          <w:color w:val="2D3329"/>
          <w:sz w:val="20"/>
          <w:szCs w:val="20"/>
        </w:rPr>
        <w:t xml:space="preserve">[8] War, A., et al. (2025). Detection of Security Smells in IaC Scripts Through Semantics-Aware Processing. arXiv:2509.18790v1.</w:t>
      </w:r>
    </w:p>
    <w:p>
      <w:pPr>
        <w:spacing w:after="120" w:before="120" w:line="250"/>
        <w:ind w:left="360" w:hanging="360"/>
      </w:pPr>
      <w:r>
        <w:rPr>
          <w:rFonts w:ascii="Times New Roman" w:cs="Times New Roman" w:eastAsia="Times New Roman" w:hAnsi="Times New Roman"/>
          <w:color w:val="2D3329"/>
          <w:sz w:val="20"/>
          <w:szCs w:val="20"/>
        </w:rPr>
        <w:t xml:space="preserve">[9] Li, Y., et al. (2025). GenSIaC: Toward Security-Aware Infrastructure-as-Code Generation with LLMs. arXiv:2511.12385v1.</w:t>
      </w:r>
    </w:p>
    <w:p>
      <w:pPr>
        <w:spacing w:after="120" w:before="120" w:line="250"/>
        <w:ind w:left="360" w:hanging="360"/>
      </w:pPr>
      <w:r>
        <w:rPr>
          <w:rFonts w:ascii="Times New Roman" w:cs="Times New Roman" w:eastAsia="Times New Roman" w:hAnsi="Times New Roman"/>
          <w:color w:val="2D3329"/>
          <w:sz w:val="20"/>
          <w:szCs w:val="20"/>
        </w:rPr>
        <w:t xml:space="preserve">[10] Chatlatanagulchai, W., et al. (2025). Agent READMEs: An Empirical Study of Context Files for Agentic Coding. arXiv:2511.12884v1.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2D3329"/>
        <w:sz w:val="18"/>
        <w:szCs w:val="18"/>
      </w:rPr>
      <w:t xml:space="preserve">Page </w:t>
    </w:r>
    <w:r>
      <w:rPr>
        <w:rFonts w:ascii="Times New Roman" w:cs="Times New Roman" w:eastAsia="Times New Roman" w:hAnsi="Times New Roman"/>
        <w:color w:val="2D3329"/>
        <w:sz w:val="18"/>
        <w:szCs w:val="18"/>
      </w:rPr>
      <w:fldChar w:fldCharType="begin"/>
      <w:instrText xml:space="preserve">PAGE</w:instrText>
      <w:fldChar w:fldCharType="separate"/>
      <w:fldChar w:fldCharType="end"/>
    </w:r>
    <w:r>
      <w:rPr>
        <w:rFonts w:ascii="Times New Roman" w:cs="Times New Roman" w:eastAsia="Times New Roman" w:hAnsi="Times New Roman"/>
        <w:color w:val="2D3329"/>
        <w:sz w:val="18"/>
        <w:szCs w:val="18"/>
      </w:rPr>
      <w:t xml:space="preserve"> of </w:t>
    </w:r>
    <w:r>
      <w:rPr>
        <w:rFonts w:ascii="Times New Roman" w:cs="Times New Roman" w:eastAsia="Times New Roman" w:hAnsi="Times New Roman"/>
        <w:color w:val="2D332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4A3B8"/>
        <w:sz w:val="18"/>
        <w:szCs w:val="18"/>
      </w:rPr>
      <w:t xml:space="preserve">Bibliographic Report: Security in IaC and Smart Contracts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1A1F16"/>
      <w:sz w:val="48"/>
      <w:szCs w:val="48"/>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A1F16"/>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4A5548"/>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2D33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2026-03-05T21:10:13.854Z</dcterms:created>
  <dcterms:modified xsi:type="dcterms:W3CDTF">2026-03-05T21:10:13.854Z</dcterms:modified>
</cp:coreProperties>
</file>

<file path=docProps/custom.xml><?xml version="1.0" encoding="utf-8"?>
<Properties xmlns="http://schemas.openxmlformats.org/officeDocument/2006/custom-properties" xmlns:vt="http://schemas.openxmlformats.org/officeDocument/2006/docPropsVTypes"/>
</file>