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D3522B">
      <w:pPr>
        <w:pStyle w:val="2"/>
        <w:spacing w:before="0" w:after="240"/>
        <w:rPr>
          <w:rFonts w:hint="default" w:ascii="Arial" w:hAnsi="Arial" w:cs="Arial"/>
        </w:rPr>
      </w:pPr>
      <w:r>
        <w:rPr>
          <w:rFonts w:hint="default" w:ascii="Arial" w:hAnsi="Arial" w:eastAsia="Times New Roman" w:cs="Arial"/>
          <w:b/>
          <w:bCs/>
          <w:color w:val="1A1A2E"/>
          <w:sz w:val="36"/>
          <w:szCs w:val="36"/>
        </w:rPr>
        <w:t>Chapter 3: Data Preprocessing and Feature Extraction</w:t>
      </w:r>
    </w:p>
    <w:p w14:paraId="63A4A85B">
      <w:pPr>
        <w:pStyle w:val="3"/>
        <w:spacing w:before="300" w:after="160"/>
        <w:rPr>
          <w:rFonts w:hint="default" w:ascii="Arial" w:hAnsi="Arial" w:cs="Arial"/>
        </w:rPr>
      </w:pPr>
      <w:r>
        <w:rPr>
          <w:rFonts w:hint="default" w:ascii="Arial" w:hAnsi="Arial" w:eastAsia="Times New Roman" w:cs="Arial"/>
          <w:b/>
          <w:bCs/>
          <w:sz w:val="28"/>
          <w:szCs w:val="28"/>
        </w:rPr>
        <w:t>3.1 Overview</w:t>
      </w:r>
    </w:p>
    <w:p w14:paraId="0A1BF068">
      <w:pPr>
        <w:spacing w:before="80" w:after="80" w:line="360" w:lineRule="auto"/>
        <w:ind w:firstLine="720"/>
        <w:jc w:val="both"/>
        <w:rPr>
          <w:rFonts w:hint="default" w:ascii="Arial" w:hAnsi="Arial" w:cs="Arial"/>
        </w:rPr>
      </w:pPr>
      <w:r>
        <w:rPr>
          <w:rFonts w:hint="default" w:ascii="Arial" w:hAnsi="Arial" w:eastAsia="Times New Roman" w:cs="Arial"/>
          <w:sz w:val="24"/>
          <w:szCs w:val="24"/>
        </w:rPr>
        <w:t>Electroencephalography (EEG) recordings are inherently sensitive to various sources of noise and artifacts, including physiological activities such as eye blinks, muscle movements, and cardiac signals, as well as environmental interference such as power line noise. Effective preprocessing is therefore essential to enhance the signal-to-noise ratio and ensure that subsequent feature extraction and machine learning stages operate on reliable neural signals. In this study, a systematic preprocessing pipeline was applied to isolate motor imagery-related EEG activity and improve data quality.</w:t>
      </w:r>
    </w:p>
    <w:p w14:paraId="64031492">
      <w:pPr>
        <w:pStyle w:val="3"/>
        <w:spacing w:before="300" w:after="160"/>
        <w:rPr>
          <w:rFonts w:hint="default" w:ascii="Arial" w:hAnsi="Arial" w:cs="Arial"/>
        </w:rPr>
      </w:pPr>
      <w:r>
        <w:rPr>
          <w:rFonts w:hint="default" w:ascii="Arial" w:hAnsi="Arial" w:eastAsia="Times New Roman" w:cs="Arial"/>
          <w:b/>
          <w:bCs/>
          <w:sz w:val="28"/>
          <w:szCs w:val="28"/>
        </w:rPr>
        <w:t>3.2 Data Acquisition and Subject Selection</w:t>
      </w:r>
    </w:p>
    <w:p w14:paraId="65305BDD">
      <w:pPr>
        <w:spacing w:before="80" w:after="80" w:line="360" w:lineRule="auto"/>
        <w:ind w:firstLine="720"/>
        <w:jc w:val="both"/>
        <w:rPr>
          <w:rFonts w:hint="default" w:ascii="Arial" w:hAnsi="Arial" w:cs="Arial"/>
        </w:rPr>
      </w:pPr>
      <w:r>
        <w:rPr>
          <w:rFonts w:hint="default" w:ascii="Arial" w:hAnsi="Arial" w:eastAsia="Times New Roman" w:cs="Arial"/>
          <w:sz w:val="24"/>
          <w:szCs w:val="24"/>
        </w:rPr>
        <w:t>The EEG data used in this work were obtained from the publicly available EEG Motor Movement/Imagery Dataset (Version 1.0.0, PhysioNet). The recordings were provided in EDF format, sampled at 160 Hz, and originally contained 64 EEG channels per subject. The dataset comprises 1,526 EDF files across 109 subjects, with each file corresponding to a distinct recording run. Each run contains approximately 24 epochs of motor imagery activity, with an average epoch length of 4.15 seconds. The annotations T0, T1, and T2 denote rest, left-hand motor imagery, and right-hand motor imagery, respectively. An initial quality check of a sample subject (S001) revealed an amplitude range of approximately [−0.000518, 0.000597] μV and a mean channel variance of 3.44×10⁻⁹ μV², indicating acceptable signal integrity.</w:t>
      </w:r>
    </w:p>
    <w:p w14:paraId="3F2B375D">
      <w:pPr>
        <w:spacing w:before="80" w:after="80" w:line="360" w:lineRule="auto"/>
        <w:ind w:firstLine="720"/>
        <w:jc w:val="both"/>
        <w:rPr>
          <w:rFonts w:hint="default" w:ascii="Arial" w:hAnsi="Arial" w:cs="Arial"/>
        </w:rPr>
      </w:pPr>
      <w:r>
        <w:rPr>
          <w:rFonts w:hint="default" w:ascii="Arial" w:hAnsi="Arial" w:eastAsia="Times New Roman" w:cs="Arial"/>
          <w:sz w:val="24"/>
          <w:szCs w:val="24"/>
        </w:rPr>
        <w:t>An initial pool of 109 subjects was available for analysis. A subject-level performance metric—preliminary classification accuracy using a Linear Discriminant Analysis (LDA) classifier with Common Spatial Pattern (CSP) features—was computed for each subject. The mean and standard deviation of this metric across all subjects were used to estimate a 95% confidence interval via the t-distribution. Subjects whose metric values lay within this interval were considered representative of the population and selected for further analysis. Based on this criterion, 19 subjects were retained. All EEG signals were converted to microvolt (μV) units to maintain uniformity across recordings.</w:t>
      </w:r>
    </w:p>
    <w:p w14:paraId="3B6FDF7E">
      <w:pPr>
        <w:pStyle w:val="3"/>
        <w:spacing w:before="300" w:after="160"/>
        <w:rPr>
          <w:rFonts w:hint="default" w:ascii="Arial" w:hAnsi="Arial" w:cs="Arial"/>
        </w:rPr>
      </w:pPr>
      <w:r>
        <w:rPr>
          <w:rFonts w:hint="default" w:ascii="Arial" w:hAnsi="Arial" w:eastAsia="Times New Roman" w:cs="Arial"/>
          <w:b/>
          <w:bCs/>
          <w:sz w:val="28"/>
          <w:szCs w:val="28"/>
        </w:rPr>
        <w:t>3.3 Initial Data Quality Assessment</w:t>
      </w:r>
    </w:p>
    <w:p w14:paraId="0411C020">
      <w:pPr>
        <w:spacing w:before="80" w:after="80" w:line="360" w:lineRule="auto"/>
        <w:ind w:firstLine="720"/>
        <w:jc w:val="both"/>
        <w:rPr>
          <w:rFonts w:hint="default" w:ascii="Arial" w:hAnsi="Arial" w:cs="Arial"/>
        </w:rPr>
      </w:pPr>
      <w:r>
        <w:rPr>
          <w:rFonts w:hint="default" w:ascii="Arial" w:hAnsi="Arial" w:eastAsia="Times New Roman" w:cs="Arial"/>
          <w:sz w:val="24"/>
          <w:szCs w:val="24"/>
        </w:rPr>
        <w:t>Prior to signal preprocessing, an initial quality control analysis was conducted to evaluate the overall integrity of the EEG recordings. This assessment involved examining signal amplitude statistics, including minimum, maximum, mean, and standard deviation values across all channels. Channels exhibiting abnormal characteristics—such as variance exceeding three standard deviations from the channel-mean variance, signal clipping (amplitude &gt; ±150 μV), or near-zero variance (dead channels)—were flagged as potentially unreliable. This step ensured that only physiologically plausible and stable EEG signals were retained for further analysis.</w:t>
      </w:r>
    </w:p>
    <w:p w14:paraId="46C21DD2">
      <w:pPr>
        <w:pStyle w:val="3"/>
        <w:spacing w:before="300" w:after="160"/>
        <w:rPr>
          <w:rFonts w:hint="default" w:ascii="Arial" w:hAnsi="Arial" w:cs="Arial"/>
        </w:rPr>
      </w:pPr>
      <w:r>
        <w:rPr>
          <w:rFonts w:hint="default" w:ascii="Arial" w:hAnsi="Arial" w:eastAsia="Times New Roman" w:cs="Arial"/>
          <w:b/>
          <w:bCs/>
          <w:sz w:val="28"/>
          <w:szCs w:val="28"/>
        </w:rPr>
        <w:t>3.4 Signal Filtering</w:t>
      </w:r>
    </w:p>
    <w:p w14:paraId="029A40FA">
      <w:pPr>
        <w:spacing w:before="80" w:after="80" w:line="360" w:lineRule="auto"/>
        <w:ind w:firstLine="720"/>
        <w:jc w:val="both"/>
        <w:rPr>
          <w:rFonts w:hint="default" w:ascii="Arial" w:hAnsi="Arial" w:cs="Arial"/>
        </w:rPr>
      </w:pPr>
      <w:r>
        <w:rPr>
          <w:rFonts w:hint="default" w:ascii="Arial" w:hAnsi="Arial" w:eastAsia="Times New Roman" w:cs="Arial"/>
          <w:sz w:val="24"/>
          <w:szCs w:val="24"/>
        </w:rPr>
        <w:t>To suppress common sources of noise and extract motor imagery-relevant neural activity, the EEG signals were filtered using the following procedures:</w:t>
      </w:r>
    </w:p>
    <w:p w14:paraId="5BE7BDDA">
      <w:pPr>
        <w:pStyle w:val="16"/>
        <w:numPr>
          <w:ilvl w:val="0"/>
          <w:numId w:val="1"/>
        </w:numPr>
        <w:spacing w:before="60" w:after="60" w:line="320" w:lineRule="auto"/>
        <w:rPr>
          <w:rFonts w:hint="default" w:ascii="Arial" w:hAnsi="Arial" w:cs="Arial"/>
        </w:rPr>
      </w:pPr>
      <w:r>
        <w:rPr>
          <w:rFonts w:hint="default" w:ascii="Arial" w:hAnsi="Arial" w:eastAsia="Times New Roman" w:cs="Arial"/>
          <w:sz w:val="24"/>
          <w:szCs w:val="24"/>
        </w:rPr>
        <w:t>Notch Filtering: Power line interference was removed by applying notch filters at 50 Hz and 60 Hz, effectively attenuating electrical noise originating from the mains supply.</w:t>
      </w:r>
    </w:p>
    <w:p w14:paraId="25E650A8">
      <w:pPr>
        <w:pStyle w:val="16"/>
        <w:numPr>
          <w:ilvl w:val="0"/>
          <w:numId w:val="1"/>
        </w:numPr>
        <w:spacing w:before="60" w:after="60" w:line="320" w:lineRule="auto"/>
        <w:rPr>
          <w:rFonts w:hint="default" w:ascii="Arial" w:hAnsi="Arial" w:cs="Arial"/>
        </w:rPr>
      </w:pPr>
      <w:r>
        <w:rPr>
          <w:rFonts w:hint="default" w:ascii="Arial" w:hAnsi="Arial" w:eastAsia="Times New Roman" w:cs="Arial"/>
          <w:sz w:val="24"/>
          <w:szCs w:val="24"/>
        </w:rPr>
        <w:t>Bandpass Filtering: A bandpass filter between 8 Hz and 30 Hz was applied to isolate the alpha (8–12 Hz) and beta (13–30 Hz) frequency bands. These bands are strongly associated with motor imagery-related Event-Related Desynchronization (ERD) and Event-Related Synchronization (ERS) phenomena and are therefore critical for motor imagery classification.</w:t>
      </w:r>
    </w:p>
    <w:p w14:paraId="2B0D5E1D">
      <w:pPr>
        <w:pStyle w:val="3"/>
        <w:spacing w:before="300" w:after="160"/>
        <w:rPr>
          <w:rFonts w:hint="default" w:ascii="Arial" w:hAnsi="Arial" w:cs="Arial"/>
        </w:rPr>
      </w:pPr>
      <w:r>
        <w:rPr>
          <w:rFonts w:hint="default" w:ascii="Arial" w:hAnsi="Arial" w:eastAsia="Times New Roman" w:cs="Arial"/>
          <w:b/>
          <w:bCs/>
          <w:sz w:val="28"/>
          <w:szCs w:val="28"/>
        </w:rPr>
        <w:t>3.5 Motor Cortex Channel Selection</w:t>
      </w:r>
    </w:p>
    <w:p w14:paraId="0D5EDBC1">
      <w:pPr>
        <w:spacing w:before="80" w:after="80" w:line="360" w:lineRule="auto"/>
        <w:ind w:firstLine="720"/>
        <w:jc w:val="both"/>
        <w:rPr>
          <w:rFonts w:hint="default" w:ascii="Arial" w:hAnsi="Arial" w:cs="Arial"/>
        </w:rPr>
      </w:pPr>
      <w:r>
        <w:rPr>
          <w:rFonts w:hint="default" w:ascii="Arial" w:hAnsi="Arial" w:eastAsia="Times New Roman" w:cs="Arial"/>
          <w:sz w:val="24"/>
          <w:szCs w:val="24"/>
        </w:rPr>
        <w:t>To focus the analysis on brain regions most relevant to motor imagery, EEG channels located over the motor cortex were selected according to the international 10–20 system. The selected channels included FC5, FC3, FC1, FCz, FC2, FC4, FC6, C5, C3, C1, Cz, C2, C4, C6, CP5, CP3, CP1, CPz, CP2, CP4, and CP6, covering the primary motor cortex, premotor areas, and supplementary motor regions. Restricting the analysis to these channels enhances sensitivity to motor imagery-related neural patterns while reducing the influence of unrelated cortical activity.</w:t>
      </w:r>
    </w:p>
    <w:p w14:paraId="40E53A30">
      <w:pPr>
        <w:pStyle w:val="3"/>
        <w:spacing w:before="300" w:after="160"/>
        <w:rPr>
          <w:rFonts w:hint="default" w:ascii="Arial" w:hAnsi="Arial" w:cs="Arial"/>
        </w:rPr>
      </w:pPr>
      <w:r>
        <w:rPr>
          <w:rFonts w:hint="default" w:ascii="Arial" w:hAnsi="Arial" w:eastAsia="Times New Roman" w:cs="Arial"/>
          <w:b/>
          <w:bCs/>
          <w:sz w:val="28"/>
          <w:szCs w:val="28"/>
        </w:rPr>
        <w:t>3.6 Artifact Removal</w:t>
      </w:r>
    </w:p>
    <w:p w14:paraId="6AD78658">
      <w:pPr>
        <w:spacing w:before="80" w:after="80" w:line="360" w:lineRule="auto"/>
        <w:ind w:firstLine="720"/>
        <w:jc w:val="both"/>
        <w:rPr>
          <w:rFonts w:hint="default" w:ascii="Arial" w:hAnsi="Arial" w:cs="Arial"/>
        </w:rPr>
      </w:pPr>
      <w:r>
        <w:rPr>
          <w:rFonts w:hint="default" w:ascii="Arial" w:hAnsi="Arial" w:eastAsia="Times New Roman" w:cs="Arial"/>
          <w:sz w:val="24"/>
          <w:szCs w:val="24"/>
        </w:rPr>
        <w:t>Independent Component Analysis (ICA) was applied separately to each data split to identify and remove artifactual components. The decomposition employed 15 ICA components. Applying ICA independently to each training, validation, and test split is a critical methodological safeguard that prevents data leakage between sets, ensuring that artifact signatures learned from one partition do not contaminate another.</w:t>
      </w:r>
    </w:p>
    <w:p w14:paraId="0A32E3B9">
      <w:pPr>
        <w:pStyle w:val="3"/>
        <w:spacing w:before="300" w:after="160"/>
        <w:rPr>
          <w:rFonts w:hint="default" w:ascii="Arial" w:hAnsi="Arial" w:cs="Arial"/>
        </w:rPr>
      </w:pPr>
      <w:r>
        <w:rPr>
          <w:rFonts w:hint="default" w:ascii="Arial" w:hAnsi="Arial" w:eastAsia="Times New Roman" w:cs="Arial"/>
          <w:b/>
          <w:bCs/>
          <w:sz w:val="28"/>
          <w:szCs w:val="28"/>
        </w:rPr>
        <w:t>3.7 Spatial Filtering</w:t>
      </w:r>
    </w:p>
    <w:p w14:paraId="5031CD5F">
      <w:pPr>
        <w:spacing w:before="80" w:after="80" w:line="360" w:lineRule="auto"/>
        <w:ind w:firstLine="720"/>
        <w:jc w:val="both"/>
        <w:rPr>
          <w:rFonts w:hint="default" w:ascii="Arial" w:hAnsi="Arial" w:cs="Arial"/>
        </w:rPr>
      </w:pPr>
      <w:r>
        <w:rPr>
          <w:rFonts w:hint="default" w:ascii="Arial" w:hAnsi="Arial" w:eastAsia="Times New Roman" w:cs="Arial"/>
          <w:sz w:val="24"/>
          <w:szCs w:val="24"/>
        </w:rPr>
        <w:t>Following channel selection, Common Average Referencing (CAR) was applied as a spatial filtering technique. CAR reduces spatially correlated noise by subtracting the average signal across all selected EEG channels from each individual channel. This step improves spatial resolution and emphasizes localized cortical activity associated with motor imagery tasks.</w:t>
      </w:r>
    </w:p>
    <w:p w14:paraId="630F1D8E">
      <w:pPr>
        <w:pStyle w:val="3"/>
        <w:spacing w:before="300" w:after="160"/>
        <w:rPr>
          <w:rFonts w:hint="default" w:ascii="Arial" w:hAnsi="Arial" w:cs="Arial"/>
        </w:rPr>
      </w:pPr>
      <w:r>
        <w:rPr>
          <w:rFonts w:hint="default" w:ascii="Arial" w:hAnsi="Arial" w:eastAsia="Times New Roman" w:cs="Arial"/>
          <w:b/>
          <w:bCs/>
          <w:sz w:val="28"/>
          <w:szCs w:val="28"/>
        </w:rPr>
        <w:t>3.8 Epoch Extraction and Baseline Correction</w:t>
      </w:r>
    </w:p>
    <w:p w14:paraId="371B7D9A">
      <w:pPr>
        <w:spacing w:before="80" w:after="80" w:line="360" w:lineRule="auto"/>
        <w:ind w:firstLine="720"/>
        <w:jc w:val="both"/>
        <w:rPr>
          <w:rFonts w:hint="default" w:ascii="Arial" w:hAnsi="Arial" w:cs="Arial"/>
        </w:rPr>
      </w:pPr>
      <w:r>
        <w:rPr>
          <w:rFonts w:hint="default" w:ascii="Arial" w:hAnsi="Arial" w:eastAsia="Times New Roman" w:cs="Arial"/>
          <w:sz w:val="24"/>
          <w:szCs w:val="24"/>
        </w:rPr>
        <w:t>The continuous EEG recordings were segmented into epochs time-locked to motor imagery events. Epochs corresponding to left-hand (T1) and right-hand (T2) motor imagery tasks were extracted using a time window ranging from −0.5 seconds to 3.0 seconds relative to cue onset. Baseline correction was applied using the pre-stimulus interval (−0.5 to 0.0 seconds) to remove DC offsets and slow signal drifts. This normalization step facilitates accurate comparison of task-related neural responses across trials. In total, 3,240 epochs were extracted from the selected subjects and used for subsequent feature extraction and classification.</w:t>
      </w:r>
    </w:p>
    <w:p w14:paraId="3E1D2E8C">
      <w:pPr>
        <w:rPr>
          <w:rFonts w:hint="default" w:ascii="Arial" w:hAnsi="Arial" w:cs="Arial"/>
        </w:rPr>
      </w:pPr>
      <w:r>
        <w:rPr>
          <w:rFonts w:hint="default" w:ascii="Arial" w:hAnsi="Arial" w:cs="Arial"/>
        </w:rPr>
        <w:br w:type="page"/>
      </w:r>
    </w:p>
    <w:p w14:paraId="13022BB3">
      <w:pPr>
        <w:pStyle w:val="2"/>
        <w:spacing w:before="0" w:after="240"/>
        <w:rPr>
          <w:rFonts w:hint="default" w:ascii="Arial" w:hAnsi="Arial" w:cs="Arial"/>
        </w:rPr>
      </w:pPr>
      <w:r>
        <w:rPr>
          <w:rFonts w:hint="default" w:ascii="Arial" w:hAnsi="Arial" w:eastAsia="Times New Roman" w:cs="Arial"/>
          <w:b/>
          <w:bCs/>
          <w:color w:val="1A1A2E"/>
          <w:sz w:val="36"/>
          <w:szCs w:val="36"/>
        </w:rPr>
        <w:t>Chapter 4: Feature Extraction Methodology</w:t>
      </w:r>
    </w:p>
    <w:p w14:paraId="0E363B6A">
      <w:pPr>
        <w:spacing w:before="80" w:after="80" w:line="360" w:lineRule="auto"/>
        <w:ind w:firstLine="720"/>
        <w:jc w:val="both"/>
        <w:rPr>
          <w:rFonts w:hint="default" w:ascii="Arial" w:hAnsi="Arial" w:cs="Arial"/>
        </w:rPr>
      </w:pPr>
      <w:r>
        <w:rPr>
          <w:rFonts w:hint="default" w:ascii="Arial" w:hAnsi="Arial" w:eastAsia="Times New Roman" w:cs="Arial"/>
          <w:sz w:val="24"/>
          <w:szCs w:val="24"/>
        </w:rPr>
        <w:t>Following preprocessing, both spatial and spectral features were systematically extracted from the EEG signals to capture discriminative patterns for motor imagery classification.</w:t>
      </w:r>
    </w:p>
    <w:p w14:paraId="66896A8B">
      <w:pPr>
        <w:pStyle w:val="3"/>
        <w:spacing w:before="300" w:after="160"/>
        <w:rPr>
          <w:rFonts w:hint="default" w:ascii="Arial" w:hAnsi="Arial" w:cs="Arial"/>
        </w:rPr>
      </w:pPr>
      <w:r>
        <w:rPr>
          <w:rFonts w:hint="default" w:ascii="Arial" w:hAnsi="Arial" w:eastAsia="Times New Roman" w:cs="Arial"/>
          <w:b/>
          <w:bCs/>
          <w:sz w:val="28"/>
          <w:szCs w:val="28"/>
        </w:rPr>
        <w:t>4.1 Temporal Feature Extraction</w:t>
      </w:r>
    </w:p>
    <w:p w14:paraId="48DF6D13">
      <w:pPr>
        <w:spacing w:before="80" w:after="80" w:line="360" w:lineRule="auto"/>
        <w:ind w:firstLine="720"/>
        <w:jc w:val="both"/>
        <w:rPr>
          <w:rFonts w:hint="default" w:ascii="Arial" w:hAnsi="Arial" w:cs="Arial"/>
        </w:rPr>
      </w:pPr>
      <w:r>
        <w:rPr>
          <w:rFonts w:hint="default" w:ascii="Arial" w:hAnsi="Arial" w:eastAsia="Times New Roman" w:cs="Arial"/>
          <w:sz w:val="24"/>
          <w:szCs w:val="24"/>
        </w:rPr>
        <w:t>A fixed time window of 1.0–3.0 seconds post-cue was selected for analysis, based on established neurophysiological evidence that motor imagery effects typically emerge approximately one second after visual cue presentation. This targeted window effectively reduced data dimensionality from 481 to 231 samples per epoch while focusing computational resources on the most relevant temporal segment.</w:t>
      </w:r>
    </w:p>
    <w:p w14:paraId="0795BAAE">
      <w:pPr>
        <w:pStyle w:val="3"/>
        <w:spacing w:before="300" w:after="160"/>
        <w:rPr>
          <w:rFonts w:hint="default" w:ascii="Arial" w:hAnsi="Arial" w:cs="Arial"/>
        </w:rPr>
      </w:pPr>
      <w:r>
        <w:rPr>
          <w:rFonts w:hint="default" w:ascii="Arial" w:hAnsi="Arial" w:eastAsia="Times New Roman" w:cs="Arial"/>
          <w:b/>
          <w:bCs/>
          <w:sz w:val="28"/>
          <w:szCs w:val="28"/>
        </w:rPr>
        <w:t>4.2 Spectral Feature Extraction via Power Spectral Density</w:t>
      </w:r>
    </w:p>
    <w:p w14:paraId="44F66E9E">
      <w:pPr>
        <w:spacing w:before="80" w:after="80" w:line="360" w:lineRule="auto"/>
        <w:ind w:firstLine="720"/>
        <w:jc w:val="both"/>
        <w:rPr>
          <w:rFonts w:hint="default" w:ascii="Arial" w:hAnsi="Arial" w:cs="Arial"/>
        </w:rPr>
      </w:pPr>
      <w:r>
        <w:rPr>
          <w:rFonts w:hint="default" w:ascii="Arial" w:hAnsi="Arial" w:eastAsia="Times New Roman" w:cs="Arial"/>
          <w:sz w:val="24"/>
          <w:szCs w:val="24"/>
        </w:rPr>
        <w:t>Power Spectral Density (PSD) features were computed using Welch’s method with a one-second Hamming window and 50% overlap. This approach was applied to capture frequency-domain characteristics within motor imagery-relevant bands:</w:t>
      </w:r>
    </w:p>
    <w:p w14:paraId="35B7737D">
      <w:pPr>
        <w:pStyle w:val="16"/>
        <w:numPr>
          <w:ilvl w:val="0"/>
          <w:numId w:val="1"/>
        </w:numPr>
        <w:spacing w:before="60" w:after="60" w:line="320" w:lineRule="auto"/>
        <w:rPr>
          <w:rFonts w:hint="default" w:ascii="Arial" w:hAnsi="Arial" w:cs="Arial"/>
        </w:rPr>
      </w:pPr>
      <w:r>
        <w:rPr>
          <w:rFonts w:hint="default" w:ascii="Arial" w:hAnsi="Arial" w:eastAsia="Times New Roman" w:cs="Arial"/>
          <w:sz w:val="24"/>
          <w:szCs w:val="24"/>
        </w:rPr>
        <w:t>Alpha band (8–12 Hz): Mu rhythm associated with sensorimotor idling.</w:t>
      </w:r>
    </w:p>
    <w:p w14:paraId="5D829277">
      <w:pPr>
        <w:pStyle w:val="16"/>
        <w:numPr>
          <w:ilvl w:val="0"/>
          <w:numId w:val="1"/>
        </w:numPr>
        <w:spacing w:before="60" w:after="60" w:line="320" w:lineRule="auto"/>
        <w:rPr>
          <w:rFonts w:hint="default" w:ascii="Arial" w:hAnsi="Arial" w:cs="Arial"/>
        </w:rPr>
      </w:pPr>
      <w:r>
        <w:rPr>
          <w:rFonts w:hint="default" w:ascii="Arial" w:hAnsi="Arial" w:eastAsia="Times New Roman" w:cs="Arial"/>
          <w:sz w:val="24"/>
          <w:szCs w:val="24"/>
        </w:rPr>
        <w:t>Beta band (13–30 Hz): Movement-related beta oscillations.</w:t>
      </w:r>
    </w:p>
    <w:p w14:paraId="59C87F5F">
      <w:pPr>
        <w:spacing w:before="80" w:after="80" w:line="360" w:lineRule="auto"/>
        <w:ind w:firstLine="720"/>
        <w:jc w:val="both"/>
        <w:rPr>
          <w:rFonts w:hint="default" w:ascii="Arial" w:hAnsi="Arial" w:cs="Arial"/>
        </w:rPr>
      </w:pPr>
      <w:r>
        <w:rPr>
          <w:rFonts w:hint="default" w:ascii="Arial" w:hAnsi="Arial" w:eastAsia="Times New Roman" w:cs="Arial"/>
          <w:sz w:val="24"/>
          <w:szCs w:val="24"/>
        </w:rPr>
        <w:t>The PSD estimation yielded spectral power estimates in 1 Hz bins across these frequency ranges. This granular frequency resolution allowed for detailed analysis of spectral differences between motor imagery conditions.</w:t>
      </w:r>
    </w:p>
    <w:p w14:paraId="732DF4BC">
      <w:pPr>
        <w:pStyle w:val="3"/>
        <w:spacing w:before="300" w:after="160"/>
        <w:rPr>
          <w:rFonts w:hint="default" w:ascii="Arial" w:hAnsi="Arial" w:cs="Arial"/>
        </w:rPr>
      </w:pPr>
      <w:r>
        <w:rPr>
          <w:rFonts w:hint="default" w:ascii="Arial" w:hAnsi="Arial" w:eastAsia="Times New Roman" w:cs="Arial"/>
          <w:b/>
          <w:bCs/>
          <w:sz w:val="28"/>
          <w:szCs w:val="28"/>
        </w:rPr>
        <w:t>4.3 Spatial Feature Extraction via Common Spatial Patterns</w:t>
      </w:r>
    </w:p>
    <w:p w14:paraId="6929A8F9">
      <w:pPr>
        <w:spacing w:before="80" w:after="80" w:line="360" w:lineRule="auto"/>
        <w:ind w:firstLine="720"/>
        <w:jc w:val="both"/>
        <w:rPr>
          <w:rFonts w:hint="default" w:ascii="Arial" w:hAnsi="Arial" w:cs="Arial"/>
        </w:rPr>
      </w:pPr>
      <w:r>
        <w:rPr>
          <w:rFonts w:hint="default" w:ascii="Arial" w:hAnsi="Arial" w:eastAsia="Times New Roman" w:cs="Arial"/>
          <w:sz w:val="24"/>
          <w:szCs w:val="24"/>
        </w:rPr>
        <w:t>Common Spatial Pattern (CSP) analysis was applied to bandpass-filtered epochs to derive maximally discriminative spatial filters. The implementation included several optimization strategies:</w:t>
      </w:r>
    </w:p>
    <w:p w14:paraId="6F7EDF59">
      <w:pPr>
        <w:pStyle w:val="16"/>
        <w:numPr>
          <w:ilvl w:val="0"/>
          <w:numId w:val="1"/>
        </w:numPr>
        <w:spacing w:before="60" w:after="60" w:line="320" w:lineRule="auto"/>
        <w:rPr>
          <w:rFonts w:hint="default" w:ascii="Arial" w:hAnsi="Arial" w:cs="Arial"/>
        </w:rPr>
      </w:pPr>
      <w:r>
        <w:rPr>
          <w:rFonts w:hint="default" w:ascii="Arial" w:hAnsi="Arial" w:eastAsia="Times New Roman" w:cs="Arial"/>
          <w:sz w:val="24"/>
          <w:szCs w:val="24"/>
        </w:rPr>
        <w:t>Component Selection: 6 CSP components, optimized through systematic grid search over [4, 6, 8, 10, 12] components.</w:t>
      </w:r>
    </w:p>
    <w:p w14:paraId="4D173456">
      <w:pPr>
        <w:pStyle w:val="16"/>
        <w:numPr>
          <w:ilvl w:val="0"/>
          <w:numId w:val="1"/>
        </w:numPr>
        <w:spacing w:before="60" w:after="60" w:line="320" w:lineRule="auto"/>
        <w:rPr>
          <w:rFonts w:hint="default" w:ascii="Arial" w:hAnsi="Arial" w:cs="Arial"/>
        </w:rPr>
      </w:pPr>
      <w:r>
        <w:rPr>
          <w:rFonts w:hint="default" w:ascii="Arial" w:hAnsi="Arial" w:eastAsia="Times New Roman" w:cs="Arial"/>
          <w:sz w:val="24"/>
          <w:szCs w:val="24"/>
        </w:rPr>
        <w:t>Regularization: Shrinkage estimator applied to covariance matrices to enhance robustness with limited samples.</w:t>
      </w:r>
    </w:p>
    <w:p w14:paraId="715BB044">
      <w:pPr>
        <w:pStyle w:val="16"/>
        <w:numPr>
          <w:ilvl w:val="0"/>
          <w:numId w:val="1"/>
        </w:numPr>
        <w:spacing w:before="60" w:after="60" w:line="320" w:lineRule="auto"/>
        <w:rPr>
          <w:rFonts w:hint="default" w:ascii="Arial" w:hAnsi="Arial" w:cs="Arial"/>
        </w:rPr>
      </w:pPr>
      <w:r>
        <w:rPr>
          <w:rFonts w:hint="default" w:ascii="Arial" w:hAnsi="Arial" w:eastAsia="Times New Roman" w:cs="Arial"/>
          <w:sz w:val="24"/>
          <w:szCs w:val="24"/>
        </w:rPr>
        <w:t>Filter Selection: Spatial filters were ranked by eigenvalue magnitude, with the top components retained based on a variance ratio criterion.</w:t>
      </w:r>
    </w:p>
    <w:p w14:paraId="36D73376">
      <w:pPr>
        <w:spacing w:before="80" w:after="80" w:line="360" w:lineRule="auto"/>
        <w:ind w:firstLine="720"/>
        <w:jc w:val="both"/>
        <w:rPr>
          <w:rFonts w:hint="default" w:ascii="Arial" w:hAnsi="Arial" w:cs="Arial"/>
        </w:rPr>
      </w:pPr>
      <w:r>
        <w:rPr>
          <w:rFonts w:hint="default" w:ascii="Arial" w:hAnsi="Arial" w:eastAsia="Times New Roman" w:cs="Arial"/>
          <w:sz w:val="24"/>
          <w:szCs w:val="24"/>
        </w:rPr>
        <w:t>For each epoch, CSP-transformed signals were processed by computing the log-variance of the spatially filtered data. This nonlinear transformation emphasized variance differences between classes while stabilizing feature distributions.</w:t>
      </w:r>
    </w:p>
    <w:p w14:paraId="326160B0">
      <w:pPr>
        <w:pStyle w:val="3"/>
        <w:spacing w:before="300" w:after="160"/>
        <w:rPr>
          <w:rFonts w:hint="default" w:ascii="Arial" w:hAnsi="Arial" w:eastAsia="Times New Roman" w:cs="Arial"/>
          <w:b/>
          <w:bCs/>
          <w:sz w:val="28"/>
          <w:szCs w:val="28"/>
        </w:rPr>
      </w:pPr>
    </w:p>
    <w:p w14:paraId="4E2F1C43">
      <w:pPr>
        <w:pStyle w:val="3"/>
        <w:spacing w:before="300" w:after="160"/>
        <w:rPr>
          <w:rFonts w:hint="default" w:ascii="Arial" w:hAnsi="Arial" w:cs="Arial"/>
        </w:rPr>
      </w:pPr>
      <w:r>
        <w:rPr>
          <w:rFonts w:hint="default" w:ascii="Arial" w:hAnsi="Arial" w:eastAsia="Times New Roman" w:cs="Arial"/>
          <w:b/>
          <w:bCs/>
          <w:sz w:val="28"/>
          <w:szCs w:val="28"/>
        </w:rPr>
        <w:t>4.4 Feature Integration and Dimensionality</w:t>
      </w:r>
    </w:p>
    <w:p w14:paraId="087E4B29">
      <w:pPr>
        <w:spacing w:before="80" w:after="80" w:line="360" w:lineRule="auto"/>
        <w:ind w:firstLine="720"/>
        <w:jc w:val="both"/>
        <w:rPr>
          <w:rFonts w:hint="default" w:ascii="Arial" w:hAnsi="Arial" w:cs="Arial"/>
        </w:rPr>
      </w:pPr>
      <w:r>
        <w:rPr>
          <w:rFonts w:hint="default" w:ascii="Arial" w:hAnsi="Arial" w:eastAsia="Times New Roman" w:cs="Arial"/>
          <w:sz w:val="24"/>
          <w:szCs w:val="24"/>
        </w:rPr>
        <w:t>The CSP and PSD features were concatenated to form a comprehensive feature representation. This multimodal integration yielded a final feature vector of 28 dimensions per epoch, combining spatial discriminability from CSP log-variance features and spectral characteristics from PSD estimates across alpha and beta bands. This feature engineering strategy provided a balanced representation capturing both spatial topographies and spectral signatures of motor imagery, enabling effective classification while maintaining computational efficiency.</w:t>
      </w:r>
    </w:p>
    <w:p w14:paraId="328F5E7B">
      <w:pPr>
        <w:rPr>
          <w:rFonts w:hint="default" w:ascii="Arial" w:hAnsi="Arial" w:cs="Arial"/>
        </w:rPr>
      </w:pPr>
      <w:r>
        <w:rPr>
          <w:rFonts w:hint="default" w:ascii="Arial" w:hAnsi="Arial" w:cs="Arial"/>
        </w:rPr>
        <w:br w:type="page"/>
      </w:r>
    </w:p>
    <w:p w14:paraId="198F0E45">
      <w:pPr>
        <w:pStyle w:val="2"/>
        <w:spacing w:before="0" w:after="240"/>
        <w:rPr>
          <w:rFonts w:hint="default" w:ascii="Arial" w:hAnsi="Arial" w:cs="Arial"/>
        </w:rPr>
      </w:pPr>
      <w:r>
        <w:rPr>
          <w:rFonts w:hint="default" w:ascii="Arial" w:hAnsi="Arial" w:eastAsia="Times New Roman" w:cs="Arial"/>
          <w:b/>
          <w:bCs/>
          <w:color w:val="1A1A2E"/>
          <w:sz w:val="36"/>
          <w:szCs w:val="36"/>
        </w:rPr>
        <w:t>Chapter 5: Machine Learning Models and Experimental Framework</w:t>
      </w:r>
    </w:p>
    <w:p w14:paraId="52F19EF1">
      <w:pPr>
        <w:pStyle w:val="3"/>
        <w:spacing w:before="300" w:after="160"/>
        <w:rPr>
          <w:rFonts w:hint="default" w:ascii="Arial" w:hAnsi="Arial" w:cs="Arial"/>
        </w:rPr>
      </w:pPr>
      <w:r>
        <w:rPr>
          <w:rFonts w:hint="default" w:ascii="Arial" w:hAnsi="Arial" w:eastAsia="Times New Roman" w:cs="Arial"/>
          <w:b/>
          <w:bCs/>
          <w:sz w:val="28"/>
          <w:szCs w:val="28"/>
        </w:rPr>
        <w:t>5.1 Datasets and Experimental Settings</w:t>
      </w:r>
    </w:p>
    <w:p w14:paraId="0EF9D441">
      <w:pPr>
        <w:spacing w:before="80" w:after="80" w:line="360" w:lineRule="auto"/>
        <w:ind w:firstLine="720"/>
        <w:jc w:val="both"/>
        <w:rPr>
          <w:rFonts w:hint="default" w:ascii="Arial" w:hAnsi="Arial" w:cs="Arial"/>
        </w:rPr>
      </w:pPr>
      <w:r>
        <w:rPr>
          <w:rFonts w:hint="default" w:ascii="Arial" w:hAnsi="Arial" w:eastAsia="Times New Roman" w:cs="Arial"/>
          <w:sz w:val="24"/>
          <w:szCs w:val="24"/>
        </w:rPr>
        <w:t>The study employed two primary datasets to evaluate model performance under different experimental conditions.</w:t>
      </w:r>
    </w:p>
    <w:p w14:paraId="5C30B60B">
      <w:pPr>
        <w:pStyle w:val="4"/>
        <w:spacing w:before="240" w:after="120"/>
        <w:rPr>
          <w:rFonts w:hint="default" w:ascii="Arial" w:hAnsi="Arial" w:cs="Arial"/>
        </w:rPr>
      </w:pPr>
      <w:r>
        <w:rPr>
          <w:rFonts w:hint="default" w:ascii="Arial" w:hAnsi="Arial" w:eastAsia="Times New Roman" w:cs="Arial"/>
          <w:b/>
          <w:bCs/>
          <w:sz w:val="24"/>
          <w:szCs w:val="24"/>
        </w:rPr>
        <w:t>5.1.1 BCI Competition IV Dataset 2a</w:t>
      </w:r>
    </w:p>
    <w:p w14:paraId="5E4D1E31">
      <w:pPr>
        <w:pStyle w:val="16"/>
        <w:numPr>
          <w:ilvl w:val="0"/>
          <w:numId w:val="1"/>
        </w:numPr>
        <w:spacing w:before="60" w:after="60" w:line="320" w:lineRule="auto"/>
        <w:rPr>
          <w:rFonts w:hint="default" w:ascii="Arial" w:hAnsi="Arial" w:cs="Arial"/>
        </w:rPr>
      </w:pPr>
      <w:r>
        <w:rPr>
          <w:rFonts w:hint="default" w:ascii="Arial" w:hAnsi="Arial" w:eastAsia="Times New Roman" w:cs="Arial"/>
          <w:sz w:val="24"/>
          <w:szCs w:val="24"/>
        </w:rPr>
        <w:t>Task: Binary motor imagery classification (left hand vs. right hand).</w:t>
      </w:r>
    </w:p>
    <w:p w14:paraId="37BAE1ED">
      <w:pPr>
        <w:pStyle w:val="16"/>
        <w:numPr>
          <w:ilvl w:val="0"/>
          <w:numId w:val="1"/>
        </w:numPr>
        <w:spacing w:before="60" w:after="60" w:line="320" w:lineRule="auto"/>
        <w:rPr>
          <w:rFonts w:hint="default" w:ascii="Arial" w:hAnsi="Arial" w:cs="Arial"/>
        </w:rPr>
      </w:pPr>
      <w:r>
        <w:rPr>
          <w:rFonts w:hint="default" w:ascii="Arial" w:hAnsi="Arial" w:eastAsia="Times New Roman" w:cs="Arial"/>
          <w:sz w:val="24"/>
          <w:szCs w:val="24"/>
        </w:rPr>
        <w:t>Subjects: 2 subjects with intensive data collection.</w:t>
      </w:r>
    </w:p>
    <w:p w14:paraId="524822C2">
      <w:pPr>
        <w:pStyle w:val="16"/>
        <w:numPr>
          <w:ilvl w:val="0"/>
          <w:numId w:val="1"/>
        </w:numPr>
        <w:spacing w:before="60" w:after="60" w:line="320" w:lineRule="auto"/>
        <w:rPr>
          <w:rFonts w:hint="default" w:ascii="Arial" w:hAnsi="Arial" w:cs="Arial"/>
        </w:rPr>
      </w:pPr>
      <w:r>
        <w:rPr>
          <w:rFonts w:hint="default" w:ascii="Arial" w:hAnsi="Arial" w:eastAsia="Times New Roman" w:cs="Arial"/>
          <w:sz w:val="24"/>
          <w:szCs w:val="24"/>
        </w:rPr>
        <w:t>Sampling Rate: 250 Hz.</w:t>
      </w:r>
    </w:p>
    <w:p w14:paraId="40E76134">
      <w:pPr>
        <w:pStyle w:val="16"/>
        <w:numPr>
          <w:ilvl w:val="0"/>
          <w:numId w:val="1"/>
        </w:numPr>
        <w:spacing w:before="60" w:after="60" w:line="320" w:lineRule="auto"/>
        <w:rPr>
          <w:rFonts w:hint="default" w:ascii="Arial" w:hAnsi="Arial" w:cs="Arial"/>
        </w:rPr>
      </w:pPr>
      <w:r>
        <w:rPr>
          <w:rFonts w:hint="default" w:ascii="Arial" w:hAnsi="Arial" w:eastAsia="Times New Roman" w:cs="Arial"/>
          <w:sz w:val="24"/>
          <w:szCs w:val="24"/>
        </w:rPr>
        <w:t>EEG Setup: 22 EEG channels.</w:t>
      </w:r>
    </w:p>
    <w:p w14:paraId="32EFB20A">
      <w:pPr>
        <w:pStyle w:val="16"/>
        <w:numPr>
          <w:ilvl w:val="0"/>
          <w:numId w:val="1"/>
        </w:numPr>
        <w:spacing w:before="60" w:after="60" w:line="320" w:lineRule="auto"/>
        <w:rPr>
          <w:rFonts w:hint="default" w:ascii="Arial" w:hAnsi="Arial" w:cs="Arial"/>
        </w:rPr>
      </w:pPr>
      <w:r>
        <w:rPr>
          <w:rFonts w:hint="default" w:ascii="Arial" w:hAnsi="Arial" w:eastAsia="Times New Roman" w:cs="Arial"/>
          <w:sz w:val="24"/>
          <w:szCs w:val="24"/>
        </w:rPr>
        <w:t>Evaluation Context: Subject-specific training with comprehensive feature engineering using Common Spatial Patterns with optimized frequency bands.</w:t>
      </w:r>
    </w:p>
    <w:p w14:paraId="066E6090">
      <w:pPr>
        <w:pStyle w:val="4"/>
        <w:spacing w:before="240" w:after="120"/>
        <w:rPr>
          <w:rFonts w:hint="default" w:ascii="Arial" w:hAnsi="Arial" w:cs="Arial"/>
        </w:rPr>
      </w:pPr>
      <w:r>
        <w:rPr>
          <w:rFonts w:hint="default" w:ascii="Arial" w:hAnsi="Arial" w:eastAsia="Times New Roman" w:cs="Arial"/>
          <w:b/>
          <w:bCs/>
          <w:sz w:val="24"/>
          <w:szCs w:val="24"/>
        </w:rPr>
        <w:t>5.1.2 PhysioNet EEG Motor Movement/Imagery Dataset</w:t>
      </w:r>
    </w:p>
    <w:p w14:paraId="120505BE">
      <w:pPr>
        <w:pStyle w:val="16"/>
        <w:numPr>
          <w:ilvl w:val="0"/>
          <w:numId w:val="1"/>
        </w:numPr>
        <w:spacing w:before="60" w:after="60" w:line="320" w:lineRule="auto"/>
        <w:rPr>
          <w:rFonts w:hint="default" w:ascii="Arial" w:hAnsi="Arial" w:cs="Arial"/>
        </w:rPr>
      </w:pPr>
      <w:r>
        <w:rPr>
          <w:rFonts w:hint="default" w:ascii="Arial" w:hAnsi="Arial" w:eastAsia="Times New Roman" w:cs="Arial"/>
          <w:sz w:val="24"/>
          <w:szCs w:val="24"/>
        </w:rPr>
        <w:t>Task: Multi-subject motor imagery classification (left/right fist movement, both fists, both feet).</w:t>
      </w:r>
    </w:p>
    <w:p w14:paraId="042B2498">
      <w:pPr>
        <w:pStyle w:val="16"/>
        <w:numPr>
          <w:ilvl w:val="0"/>
          <w:numId w:val="1"/>
        </w:numPr>
        <w:spacing w:before="60" w:after="60" w:line="320" w:lineRule="auto"/>
        <w:rPr>
          <w:rFonts w:hint="default" w:ascii="Arial" w:hAnsi="Arial" w:cs="Arial"/>
        </w:rPr>
      </w:pPr>
      <w:r>
        <w:rPr>
          <w:rFonts w:hint="default" w:ascii="Arial" w:hAnsi="Arial" w:eastAsia="Times New Roman" w:cs="Arial"/>
          <w:sz w:val="24"/>
          <w:szCs w:val="24"/>
        </w:rPr>
        <w:t>Scale: 109 subjects, 1,526 EDF files; each subject has 14 runs.</w:t>
      </w:r>
    </w:p>
    <w:p w14:paraId="442BAC9B">
      <w:pPr>
        <w:pStyle w:val="16"/>
        <w:numPr>
          <w:ilvl w:val="0"/>
          <w:numId w:val="1"/>
        </w:numPr>
        <w:spacing w:before="60" w:after="60" w:line="320" w:lineRule="auto"/>
        <w:rPr>
          <w:rFonts w:hint="default" w:ascii="Arial" w:hAnsi="Arial" w:cs="Arial"/>
        </w:rPr>
      </w:pPr>
      <w:r>
        <w:rPr>
          <w:rFonts w:hint="default" w:ascii="Arial" w:hAnsi="Arial" w:eastAsia="Times New Roman" w:cs="Arial"/>
          <w:sz w:val="24"/>
          <w:szCs w:val="24"/>
        </w:rPr>
        <w:t>Evaluation Context: Cross-subject generalization with standardized preprocessing.</w:t>
      </w:r>
    </w:p>
    <w:p w14:paraId="2A4BA4CB">
      <w:pPr>
        <w:pStyle w:val="16"/>
        <w:numPr>
          <w:ilvl w:val="0"/>
          <w:numId w:val="1"/>
        </w:numPr>
        <w:spacing w:before="60" w:after="60" w:line="320" w:lineRule="auto"/>
        <w:rPr>
          <w:rFonts w:hint="default" w:ascii="Arial" w:hAnsi="Arial" w:cs="Arial"/>
        </w:rPr>
      </w:pPr>
      <w:r>
        <w:rPr>
          <w:rFonts w:hint="default" w:ascii="Arial" w:hAnsi="Arial" w:eastAsia="Times New Roman" w:cs="Arial"/>
          <w:sz w:val="24"/>
          <w:szCs w:val="24"/>
        </w:rPr>
        <w:t>Split Strategy: Subject-independent stratified 70/15/15 train-validation-test split.</w:t>
      </w:r>
    </w:p>
    <w:p w14:paraId="35103D5E">
      <w:pPr>
        <w:pStyle w:val="16"/>
        <w:numPr>
          <w:ilvl w:val="0"/>
          <w:numId w:val="1"/>
        </w:numPr>
        <w:spacing w:before="60" w:after="60" w:line="320" w:lineRule="auto"/>
        <w:rPr>
          <w:rFonts w:hint="default" w:ascii="Arial" w:hAnsi="Arial" w:cs="Arial"/>
        </w:rPr>
      </w:pPr>
      <w:r>
        <w:rPr>
          <w:rFonts w:hint="default" w:ascii="Arial" w:hAnsi="Arial" w:eastAsia="Times New Roman" w:cs="Arial"/>
          <w:sz w:val="24"/>
          <w:szCs w:val="24"/>
        </w:rPr>
        <w:t>EEG Setup: 64-channel EEG recorded using the BCI2000 system.</w:t>
      </w:r>
    </w:p>
    <w:p w14:paraId="458A004A">
      <w:pPr>
        <w:pStyle w:val="16"/>
        <w:numPr>
          <w:ilvl w:val="0"/>
          <w:numId w:val="1"/>
        </w:numPr>
        <w:spacing w:before="60" w:after="60" w:line="320" w:lineRule="auto"/>
        <w:rPr>
          <w:rFonts w:hint="default" w:ascii="Arial" w:hAnsi="Arial" w:cs="Arial"/>
        </w:rPr>
      </w:pPr>
      <w:r>
        <w:rPr>
          <w:rFonts w:hint="default" w:ascii="Arial" w:hAnsi="Arial" w:eastAsia="Times New Roman" w:cs="Arial"/>
          <w:sz w:val="24"/>
          <w:szCs w:val="24"/>
        </w:rPr>
        <w:t>Sampling Rate: 160 Hz.</w:t>
      </w:r>
    </w:p>
    <w:p w14:paraId="0918F990">
      <w:pPr>
        <w:pStyle w:val="3"/>
        <w:spacing w:before="300" w:after="160"/>
        <w:rPr>
          <w:rFonts w:hint="default" w:ascii="Arial" w:hAnsi="Arial" w:cs="Arial"/>
        </w:rPr>
      </w:pPr>
      <w:r>
        <w:rPr>
          <w:rFonts w:hint="default" w:ascii="Arial" w:hAnsi="Arial" w:eastAsia="Times New Roman" w:cs="Arial"/>
          <w:b/>
          <w:bCs/>
          <w:sz w:val="28"/>
          <w:szCs w:val="28"/>
        </w:rPr>
        <w:t>5.2 Training Protocol</w:t>
      </w:r>
    </w:p>
    <w:p w14:paraId="7888F432">
      <w:pPr>
        <w:spacing w:before="80" w:after="80" w:line="360" w:lineRule="auto"/>
        <w:ind w:firstLine="720"/>
        <w:jc w:val="both"/>
        <w:rPr>
          <w:rFonts w:hint="default" w:ascii="Arial" w:hAnsi="Arial" w:cs="Arial"/>
        </w:rPr>
      </w:pPr>
      <w:r>
        <w:rPr>
          <w:rFonts w:hint="default" w:ascii="Arial" w:hAnsi="Arial" w:eastAsia="Times New Roman" w:cs="Arial"/>
          <w:sz w:val="24"/>
          <w:szCs w:val="24"/>
        </w:rPr>
        <w:t>All machine learning models were implemented using scikit-learn (version 1.3.0) in Python. A 5-fold nested cross-validation strategy was employed throughout the experimental design. The inner loop was dedicated to hyperparameter optimization while the outer loop was used for unbiased performance evaluation. Strict separation between training, validation, and test sets was maintained at all times to prevent data leakage.</w:t>
      </w:r>
    </w:p>
    <w:p w14:paraId="27A8162B">
      <w:pPr>
        <w:spacing w:before="80" w:after="80" w:line="360" w:lineRule="auto"/>
        <w:ind w:firstLine="720"/>
        <w:jc w:val="both"/>
        <w:rPr>
          <w:rFonts w:hint="default" w:ascii="Arial" w:hAnsi="Arial" w:cs="Arial"/>
        </w:rPr>
      </w:pPr>
      <w:r>
        <w:rPr>
          <w:rFonts w:hint="default" w:ascii="Arial" w:hAnsi="Arial" w:eastAsia="Times New Roman" w:cs="Arial"/>
          <w:sz w:val="24"/>
          <w:szCs w:val="24"/>
        </w:rPr>
        <w:t>Model performance was assessed using the following evaluation metrics: classification accuracy (primary metric), F1-score, precision, recall, ROC-AUC, and confusion matrices for class-wise performance analysis.</w:t>
      </w:r>
    </w:p>
    <w:p w14:paraId="6DD88000">
      <w:pPr>
        <w:pStyle w:val="3"/>
        <w:spacing w:before="300" w:after="160"/>
        <w:rPr>
          <w:rFonts w:hint="default" w:ascii="Arial" w:hAnsi="Arial" w:eastAsia="Times New Roman" w:cs="Arial"/>
          <w:b/>
          <w:bCs/>
          <w:sz w:val="28"/>
          <w:szCs w:val="28"/>
        </w:rPr>
      </w:pPr>
    </w:p>
    <w:p w14:paraId="45A4A3DA">
      <w:pPr>
        <w:pStyle w:val="3"/>
        <w:spacing w:before="300" w:after="160"/>
        <w:rPr>
          <w:rFonts w:hint="default" w:ascii="Arial" w:hAnsi="Arial" w:eastAsia="Times New Roman" w:cs="Arial"/>
          <w:b/>
          <w:bCs/>
          <w:sz w:val="28"/>
          <w:szCs w:val="28"/>
        </w:rPr>
      </w:pPr>
    </w:p>
    <w:p w14:paraId="59F693D2">
      <w:pPr>
        <w:pStyle w:val="3"/>
        <w:spacing w:before="300" w:after="160"/>
        <w:rPr>
          <w:rFonts w:hint="default" w:ascii="Arial" w:hAnsi="Arial" w:eastAsia="Times New Roman" w:cs="Arial"/>
          <w:b/>
          <w:bCs/>
          <w:sz w:val="28"/>
          <w:szCs w:val="28"/>
        </w:rPr>
      </w:pPr>
    </w:p>
    <w:p w14:paraId="727BA28C">
      <w:pPr>
        <w:pStyle w:val="3"/>
        <w:spacing w:before="300" w:after="160"/>
        <w:rPr>
          <w:rFonts w:hint="default" w:ascii="Arial" w:hAnsi="Arial" w:cs="Arial"/>
        </w:rPr>
      </w:pPr>
      <w:r>
        <w:rPr>
          <w:rFonts w:hint="default" w:ascii="Arial" w:hAnsi="Arial" w:eastAsia="Times New Roman" w:cs="Arial"/>
          <w:b/>
          <w:bCs/>
          <w:sz w:val="28"/>
          <w:szCs w:val="28"/>
        </w:rPr>
        <w:t>5.3 Model Implementations</w:t>
      </w:r>
    </w:p>
    <w:p w14:paraId="27F5275E">
      <w:pPr>
        <w:pStyle w:val="4"/>
        <w:spacing w:before="240" w:after="120"/>
        <w:rPr>
          <w:rFonts w:hint="default" w:ascii="Arial" w:hAnsi="Arial" w:cs="Arial"/>
        </w:rPr>
      </w:pPr>
      <w:r>
        <w:rPr>
          <w:rFonts w:hint="default" w:ascii="Arial" w:hAnsi="Arial" w:eastAsia="Times New Roman" w:cs="Arial"/>
          <w:b/>
          <w:bCs/>
          <w:sz w:val="24"/>
          <w:szCs w:val="24"/>
        </w:rPr>
        <w:t>5.3.1 Linear Discriminant Analysis (LDA)</w:t>
      </w:r>
    </w:p>
    <w:p w14:paraId="71AB8511">
      <w:pPr>
        <w:spacing w:before="80" w:after="80" w:line="360" w:lineRule="auto"/>
        <w:ind w:firstLine="720"/>
        <w:jc w:val="both"/>
        <w:rPr>
          <w:rFonts w:hint="default" w:ascii="Arial" w:hAnsi="Arial" w:cs="Arial"/>
        </w:rPr>
      </w:pPr>
      <w:r>
        <w:rPr>
          <w:rFonts w:hint="default" w:ascii="Arial" w:hAnsi="Arial" w:eastAsia="Times New Roman" w:cs="Arial"/>
          <w:sz w:val="24"/>
          <w:szCs w:val="24"/>
        </w:rPr>
        <w:t>LDA is a statistical classifier that projects data onto lower-dimensional spaces while maximizing class separability through linear decision boundaries. Shrinkage regularization was implemented using the Ledoit-Wolf lemma to address the small-sample problem inherent in EEG data, and covariance estimation was stabilized through regularization techniques. LDA was selected for its computational efficiency, proven effectiveness in motor imagery BCI applications, and strong baseline performance when combined with CSP features.</w:t>
      </w:r>
    </w:p>
    <w:p w14:paraId="5DEBBCC7">
      <w:pPr>
        <w:pStyle w:val="4"/>
        <w:spacing w:before="240" w:after="120"/>
        <w:rPr>
          <w:rFonts w:hint="default" w:ascii="Arial" w:hAnsi="Arial" w:cs="Arial"/>
        </w:rPr>
      </w:pPr>
      <w:r>
        <w:rPr>
          <w:rFonts w:hint="default" w:ascii="Arial" w:hAnsi="Arial" w:eastAsia="Times New Roman" w:cs="Arial"/>
          <w:b/>
          <w:bCs/>
          <w:sz w:val="24"/>
          <w:szCs w:val="24"/>
        </w:rPr>
        <w:t>5.3.2 Support Vector Machine (SVM)</w:t>
      </w:r>
    </w:p>
    <w:p w14:paraId="21232B05">
      <w:pPr>
        <w:spacing w:before="80" w:after="80" w:line="360" w:lineRule="auto"/>
        <w:ind w:firstLine="720"/>
        <w:jc w:val="both"/>
        <w:rPr>
          <w:rFonts w:hint="default" w:ascii="Arial" w:hAnsi="Arial" w:cs="Arial"/>
        </w:rPr>
      </w:pPr>
      <w:r>
        <w:rPr>
          <w:rFonts w:hint="default" w:ascii="Arial" w:hAnsi="Arial" w:eastAsia="Times New Roman" w:cs="Arial"/>
          <w:sz w:val="24"/>
          <w:szCs w:val="24"/>
        </w:rPr>
        <w:t>Two kernel configurations were evaluated:</w:t>
      </w:r>
    </w:p>
    <w:p w14:paraId="447403FC">
      <w:pPr>
        <w:pStyle w:val="16"/>
        <w:numPr>
          <w:ilvl w:val="0"/>
          <w:numId w:val="1"/>
        </w:numPr>
        <w:spacing w:before="60" w:after="60" w:line="320" w:lineRule="auto"/>
        <w:rPr>
          <w:rFonts w:hint="default" w:ascii="Arial" w:hAnsi="Arial" w:cs="Arial"/>
        </w:rPr>
      </w:pPr>
      <w:r>
        <w:rPr>
          <w:rFonts w:hint="default" w:ascii="Arial" w:hAnsi="Arial" w:eastAsia="Times New Roman" w:cs="Arial"/>
          <w:sz w:val="24"/>
          <w:szCs w:val="24"/>
        </w:rPr>
        <w:t>RBF Kernel SVM: Optimal configuration with C=1, gamma=0.001. Cross-validation accuracy: 52.7%. This configuration offers non-linear mapping capability for capturing complex relationships in EEG patterns.</w:t>
      </w:r>
    </w:p>
    <w:p w14:paraId="2B40CFF1">
      <w:pPr>
        <w:pStyle w:val="16"/>
        <w:numPr>
          <w:ilvl w:val="0"/>
          <w:numId w:val="1"/>
        </w:numPr>
        <w:spacing w:before="60" w:after="60" w:line="320" w:lineRule="auto"/>
        <w:rPr>
          <w:rFonts w:hint="default" w:ascii="Arial" w:hAnsi="Arial" w:cs="Arial"/>
        </w:rPr>
      </w:pPr>
      <w:r>
        <w:rPr>
          <w:rFonts w:hint="default" w:ascii="Arial" w:hAnsi="Arial" w:eastAsia="Times New Roman" w:cs="Arial"/>
          <w:sz w:val="24"/>
          <w:szCs w:val="24"/>
        </w:rPr>
        <w:t>Linear Kernel SVM: C values tested over a logarithmic scale [0.01, 0.1, 1, 10, 100]. Combined with CSP features in an optimized pipeline (CSP → SVM), this configuration provides efficient training and strong generalization for linearly separable features. Probability estimates were enabled for voting classifier combination.</w:t>
      </w:r>
    </w:p>
    <w:p w14:paraId="12AC8527">
      <w:pPr>
        <w:spacing w:before="80" w:after="80" w:line="360" w:lineRule="auto"/>
        <w:ind w:firstLine="720"/>
        <w:jc w:val="both"/>
        <w:rPr>
          <w:rFonts w:hint="default" w:ascii="Arial" w:hAnsi="Arial" w:cs="Arial"/>
        </w:rPr>
      </w:pPr>
      <w:r>
        <w:rPr>
          <w:rFonts w:hint="default" w:ascii="Arial" w:hAnsi="Arial" w:eastAsia="Times New Roman" w:cs="Arial"/>
          <w:sz w:val="24"/>
          <w:szCs w:val="24"/>
        </w:rPr>
        <w:t>Note: In the 19-subject PhysioNet dataset, SVM with RBF kernel achieved a test accuracy of 53.19%, slightly below LDA but demonstrating robust generalization.</w:t>
      </w:r>
    </w:p>
    <w:p w14:paraId="605D76A3">
      <w:pPr>
        <w:pStyle w:val="4"/>
        <w:spacing w:before="240" w:after="120"/>
        <w:rPr>
          <w:rFonts w:hint="default" w:ascii="Arial" w:hAnsi="Arial" w:cs="Arial"/>
        </w:rPr>
      </w:pPr>
      <w:r>
        <w:rPr>
          <w:rFonts w:hint="default" w:ascii="Arial" w:hAnsi="Arial" w:eastAsia="Times New Roman" w:cs="Arial"/>
          <w:b/>
          <w:bCs/>
          <w:sz w:val="24"/>
          <w:szCs w:val="24"/>
        </w:rPr>
        <w:t>5.3.3 k-Nearest Neighbors (KNN)</w:t>
      </w:r>
    </w:p>
    <w:p w14:paraId="40490512">
      <w:pPr>
        <w:spacing w:before="80" w:after="80" w:line="360" w:lineRule="auto"/>
        <w:ind w:firstLine="720"/>
        <w:jc w:val="both"/>
        <w:rPr>
          <w:rFonts w:hint="default" w:ascii="Arial" w:hAnsi="Arial" w:cs="Arial"/>
        </w:rPr>
      </w:pPr>
      <w:r>
        <w:rPr>
          <w:rFonts w:hint="default" w:ascii="Arial" w:hAnsi="Arial" w:eastAsia="Times New Roman" w:cs="Arial"/>
          <w:sz w:val="24"/>
          <w:szCs w:val="24"/>
        </w:rPr>
        <w:t>KNN is a non-parametric, instance-based learning algorithm that classifies samples based on the majority label among the k nearest neighbors. Grid search was used to optimize k over values [3, 5, 7, 9, 11] using Euclidean distance. Optimal parameters were n_neighbors=7, metric='euclidean', weights='uniform', achieving a best CV accuracy of 51.8% and a test accuracy of 49.86% on the 19-subject PhysioNet dataset.</w:t>
      </w:r>
    </w:p>
    <w:p w14:paraId="6EDA1D58">
      <w:pPr>
        <w:pStyle w:val="4"/>
        <w:spacing w:before="240" w:after="120"/>
        <w:rPr>
          <w:rFonts w:hint="default" w:ascii="Arial" w:hAnsi="Arial" w:cs="Arial"/>
        </w:rPr>
      </w:pPr>
      <w:r>
        <w:rPr>
          <w:rFonts w:hint="default" w:ascii="Arial" w:hAnsi="Arial" w:eastAsia="Times New Roman" w:cs="Arial"/>
          <w:b/>
          <w:bCs/>
          <w:sz w:val="24"/>
          <w:szCs w:val="24"/>
        </w:rPr>
        <w:t>5.3.4 Random Forest Ensemble</w:t>
      </w:r>
    </w:p>
    <w:p w14:paraId="3BDE62B4">
      <w:pPr>
        <w:spacing w:before="80" w:after="80" w:line="360" w:lineRule="auto"/>
        <w:ind w:firstLine="720"/>
        <w:jc w:val="both"/>
        <w:rPr>
          <w:rFonts w:hint="default" w:ascii="Arial" w:hAnsi="Arial" w:cs="Arial"/>
        </w:rPr>
      </w:pPr>
      <w:r>
        <w:rPr>
          <w:rFonts w:hint="default" w:ascii="Arial" w:hAnsi="Arial" w:eastAsia="Times New Roman" w:cs="Arial"/>
          <w:sz w:val="24"/>
          <w:szCs w:val="24"/>
        </w:rPr>
        <w:t>The random forest ensemble combines multiple decision trees through bootstrap aggregation and majority voting. The optimized configuration employed 50 decision trees, a maximum depth of 20 levels, and split criteria of min_samples_split=10 and min_samples_leaf=4. This configuration achieved a best CV accuracy of 52.2% and a test accuracy of 52.08% on the PhysioNet dataset. Its key advantages include robustness to noise, the ability to model non-linear interactions, and inherent feature importance assessment.</w:t>
      </w:r>
    </w:p>
    <w:p w14:paraId="3076AD27">
      <w:pPr>
        <w:pStyle w:val="4"/>
        <w:spacing w:before="240" w:after="120"/>
        <w:rPr>
          <w:rFonts w:hint="default" w:ascii="Arial" w:hAnsi="Arial" w:cs="Arial"/>
        </w:rPr>
      </w:pPr>
      <w:r>
        <w:rPr>
          <w:rFonts w:hint="default" w:ascii="Arial" w:hAnsi="Arial" w:eastAsia="Times New Roman" w:cs="Arial"/>
          <w:b/>
          <w:bCs/>
          <w:sz w:val="24"/>
          <w:szCs w:val="24"/>
        </w:rPr>
        <w:t>5.3.5 Extreme Gradient Boosting (XGBoost)</w:t>
      </w:r>
    </w:p>
    <w:p w14:paraId="1BA5C84C">
      <w:pPr>
        <w:spacing w:before="80" w:after="80" w:line="360" w:lineRule="auto"/>
        <w:ind w:firstLine="720"/>
        <w:jc w:val="both"/>
        <w:rPr>
          <w:rFonts w:hint="default" w:ascii="Arial" w:hAnsi="Arial" w:cs="Arial"/>
        </w:rPr>
      </w:pPr>
      <w:r>
        <w:rPr>
          <w:rFonts w:hint="default" w:ascii="Arial" w:hAnsi="Arial" w:eastAsia="Times New Roman" w:cs="Arial"/>
          <w:sz w:val="24"/>
          <w:szCs w:val="24"/>
        </w:rPr>
        <w:t>XGBoost is an advanced gradient boosting ensemble that sequentially builds weak learners to correct previous errors. The optimized configuration used 200 estimators, a maximum tree depth of 3, a learning rate of 0.01, a subsample ratio of 1.0, and a colsample_bytree of 0.8. Early stopping with validation monitoring was implemented as a regularization strategy. This model achieved the highest CV accuracy of 53.7% and a test accuracy of 52.92% on the PhysioNet dataset.</w:t>
      </w:r>
    </w:p>
    <w:p w14:paraId="323652EB">
      <w:pPr>
        <w:pStyle w:val="3"/>
        <w:spacing w:before="300" w:after="160"/>
        <w:rPr>
          <w:rFonts w:hint="default" w:ascii="Arial" w:hAnsi="Arial" w:cs="Arial"/>
        </w:rPr>
      </w:pPr>
      <w:r>
        <w:rPr>
          <w:rFonts w:hint="default" w:ascii="Arial" w:hAnsi="Arial" w:eastAsia="Times New Roman" w:cs="Arial"/>
          <w:b/>
          <w:bCs/>
          <w:sz w:val="28"/>
          <w:szCs w:val="28"/>
        </w:rPr>
        <w:t>5.4 Hyperparameter Optimization Strategy</w:t>
      </w:r>
    </w:p>
    <w:p w14:paraId="6F16CA27">
      <w:pPr>
        <w:spacing w:before="80" w:after="80" w:line="360" w:lineRule="auto"/>
        <w:ind w:firstLine="720"/>
        <w:jc w:val="both"/>
        <w:rPr>
          <w:rFonts w:hint="default" w:ascii="Arial" w:hAnsi="Arial" w:cs="Arial"/>
        </w:rPr>
      </w:pPr>
      <w:r>
        <w:rPr>
          <w:rFonts w:hint="default" w:ascii="Arial" w:hAnsi="Arial" w:eastAsia="Times New Roman" w:cs="Arial"/>
          <w:sz w:val="24"/>
          <w:szCs w:val="24"/>
        </w:rPr>
        <w:t>A systematic grid search was applied to optimize the following parameters across models: C parameter, kernel type, and gamma for SVM; number of CSP components tested over [4, 6, 8, 10, 12]; frequency bands evaluated over mu (8–12 Hz), mu+low beta (8–15 Hz), beta (13–30 Hz), and broadband (8–30 Hz); and n_estimators, max_depth, learning_rate, and subsample ratios for tree-based models.</w:t>
      </w:r>
    </w:p>
    <w:p w14:paraId="2BDB9E61">
      <w:pPr>
        <w:spacing w:before="80" w:after="80" w:line="360" w:lineRule="auto"/>
        <w:ind w:firstLine="720"/>
        <w:jc w:val="both"/>
        <w:rPr>
          <w:rFonts w:hint="default" w:ascii="Arial" w:hAnsi="Arial" w:cs="Arial"/>
        </w:rPr>
      </w:pPr>
      <w:r>
        <w:rPr>
          <w:rFonts w:hint="default" w:ascii="Arial" w:hAnsi="Arial" w:eastAsia="Times New Roman" w:cs="Arial"/>
          <w:sz w:val="24"/>
          <w:szCs w:val="24"/>
        </w:rPr>
        <w:t>Optimization results identified 6 CSP components as optimal, achieving 89.1% accuracy in the BCI Competition validation. The 13–30 Hz beta band yielded an 85.5% accuracy improvement over the baseline. A linear SVM kernel with C=1.0 was found optimal for CSP features.</w:t>
      </w:r>
    </w:p>
    <w:p w14:paraId="6F3F5B4B">
      <w:pPr>
        <w:pStyle w:val="3"/>
        <w:spacing w:before="300" w:after="160"/>
        <w:rPr>
          <w:rFonts w:hint="default" w:ascii="Arial" w:hAnsi="Arial" w:cs="Arial"/>
        </w:rPr>
      </w:pPr>
      <w:r>
        <w:rPr>
          <w:rFonts w:hint="default" w:ascii="Arial" w:hAnsi="Arial" w:eastAsia="Times New Roman" w:cs="Arial"/>
          <w:b/>
          <w:bCs/>
          <w:sz w:val="28"/>
          <w:szCs w:val="28"/>
        </w:rPr>
        <w:t>5.5 Performance Evaluation</w:t>
      </w:r>
    </w:p>
    <w:p w14:paraId="30658AFD">
      <w:pPr>
        <w:pStyle w:val="4"/>
        <w:spacing w:before="240" w:after="120"/>
        <w:rPr>
          <w:rFonts w:hint="default" w:ascii="Arial" w:hAnsi="Arial" w:cs="Arial"/>
        </w:rPr>
      </w:pPr>
      <w:r>
        <w:rPr>
          <w:rFonts w:hint="default" w:ascii="Arial" w:hAnsi="Arial" w:eastAsia="Times New Roman" w:cs="Arial"/>
          <w:b/>
          <w:bCs/>
          <w:sz w:val="24"/>
          <w:szCs w:val="24"/>
        </w:rPr>
        <w:t>5.5.1 BCI Competition IV Dataset 2a Results</w:t>
      </w:r>
    </w:p>
    <w:p w14:paraId="04807E96">
      <w:pPr>
        <w:spacing w:before="60" w:after="60"/>
        <w:rPr>
          <w:rFonts w:hint="default" w:ascii="Arial" w:hAnsi="Arial" w:cs="Aria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0"/>
        <w:gridCol w:w="1560"/>
        <w:gridCol w:w="1400"/>
        <w:gridCol w:w="1360"/>
        <w:gridCol w:w="1160"/>
        <w:gridCol w:w="1160"/>
        <w:gridCol w:w="1160"/>
      </w:tblGrid>
      <w:tr w14:paraId="6C7EC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6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vAlign w:val="center"/>
          </w:tcPr>
          <w:p w14:paraId="0E3C128D">
            <w:pPr>
              <w:jc w:val="center"/>
              <w:rPr>
                <w:rFonts w:hint="default" w:ascii="Arial" w:hAnsi="Arial" w:cs="Arial"/>
              </w:rPr>
            </w:pPr>
            <w:r>
              <w:rPr>
                <w:rFonts w:hint="default" w:ascii="Arial" w:hAnsi="Arial" w:eastAsia="Times New Roman" w:cs="Arial"/>
                <w:b/>
                <w:bCs/>
                <w:color w:val="FFFFFF"/>
                <w:sz w:val="20"/>
                <w:szCs w:val="20"/>
              </w:rPr>
              <w:t>Model</w:t>
            </w:r>
          </w:p>
        </w:tc>
        <w:tc>
          <w:tcPr>
            <w:tcW w:w="156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vAlign w:val="center"/>
          </w:tcPr>
          <w:p w14:paraId="03B9536C">
            <w:pPr>
              <w:jc w:val="center"/>
              <w:rPr>
                <w:rFonts w:hint="default" w:ascii="Arial" w:hAnsi="Arial" w:cs="Arial"/>
              </w:rPr>
            </w:pPr>
            <w:r>
              <w:rPr>
                <w:rFonts w:hint="default" w:ascii="Arial" w:hAnsi="Arial" w:eastAsia="Times New Roman" w:cs="Arial"/>
                <w:b/>
                <w:bCs/>
                <w:color w:val="FFFFFF"/>
                <w:sz w:val="20"/>
                <w:szCs w:val="20"/>
              </w:rPr>
              <w:t>Training Acc.</w:t>
            </w:r>
          </w:p>
        </w:tc>
        <w:tc>
          <w:tcPr>
            <w:tcW w:w="140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vAlign w:val="center"/>
          </w:tcPr>
          <w:p w14:paraId="5598F6B1">
            <w:pPr>
              <w:jc w:val="center"/>
              <w:rPr>
                <w:rFonts w:hint="default" w:ascii="Arial" w:hAnsi="Arial" w:cs="Arial"/>
              </w:rPr>
            </w:pPr>
            <w:r>
              <w:rPr>
                <w:rFonts w:hint="default" w:ascii="Arial" w:hAnsi="Arial" w:eastAsia="Times New Roman" w:cs="Arial"/>
                <w:b/>
                <w:bCs/>
                <w:color w:val="FFFFFF"/>
                <w:sz w:val="20"/>
                <w:szCs w:val="20"/>
              </w:rPr>
              <w:t>Test Acc.</w:t>
            </w:r>
          </w:p>
        </w:tc>
        <w:tc>
          <w:tcPr>
            <w:tcW w:w="136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vAlign w:val="center"/>
          </w:tcPr>
          <w:p w14:paraId="7FBE68B1">
            <w:pPr>
              <w:jc w:val="center"/>
              <w:rPr>
                <w:rFonts w:hint="default" w:ascii="Arial" w:hAnsi="Arial" w:cs="Arial"/>
              </w:rPr>
            </w:pPr>
            <w:r>
              <w:rPr>
                <w:rFonts w:hint="default" w:ascii="Arial" w:hAnsi="Arial" w:eastAsia="Times New Roman" w:cs="Arial"/>
                <w:b/>
                <w:bCs/>
                <w:color w:val="FFFFFF"/>
                <w:sz w:val="20"/>
                <w:szCs w:val="20"/>
              </w:rPr>
              <w:t>Precision</w:t>
            </w:r>
          </w:p>
        </w:tc>
        <w:tc>
          <w:tcPr>
            <w:tcW w:w="116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vAlign w:val="center"/>
          </w:tcPr>
          <w:p w14:paraId="211C4A9B">
            <w:pPr>
              <w:jc w:val="center"/>
              <w:rPr>
                <w:rFonts w:hint="default" w:ascii="Arial" w:hAnsi="Arial" w:cs="Arial"/>
              </w:rPr>
            </w:pPr>
            <w:r>
              <w:rPr>
                <w:rFonts w:hint="default" w:ascii="Arial" w:hAnsi="Arial" w:eastAsia="Times New Roman" w:cs="Arial"/>
                <w:b/>
                <w:bCs/>
                <w:color w:val="FFFFFF"/>
                <w:sz w:val="20"/>
                <w:szCs w:val="20"/>
              </w:rPr>
              <w:t>Recall</w:t>
            </w:r>
          </w:p>
        </w:tc>
        <w:tc>
          <w:tcPr>
            <w:tcW w:w="116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vAlign w:val="center"/>
          </w:tcPr>
          <w:p w14:paraId="25E34ED8">
            <w:pPr>
              <w:jc w:val="center"/>
              <w:rPr>
                <w:rFonts w:hint="default" w:ascii="Arial" w:hAnsi="Arial" w:cs="Arial"/>
              </w:rPr>
            </w:pPr>
            <w:r>
              <w:rPr>
                <w:rFonts w:hint="default" w:ascii="Arial" w:hAnsi="Arial" w:eastAsia="Times New Roman" w:cs="Arial"/>
                <w:b/>
                <w:bCs/>
                <w:color w:val="FFFFFF"/>
                <w:sz w:val="20"/>
                <w:szCs w:val="20"/>
              </w:rPr>
              <w:t>F1-Score</w:t>
            </w:r>
          </w:p>
        </w:tc>
        <w:tc>
          <w:tcPr>
            <w:tcW w:w="116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vAlign w:val="center"/>
          </w:tcPr>
          <w:p w14:paraId="2127CB14">
            <w:pPr>
              <w:jc w:val="center"/>
              <w:rPr>
                <w:rFonts w:hint="default" w:ascii="Arial" w:hAnsi="Arial" w:cs="Arial"/>
              </w:rPr>
            </w:pPr>
            <w:r>
              <w:rPr>
                <w:rFonts w:hint="default" w:ascii="Arial" w:hAnsi="Arial" w:eastAsia="Times New Roman" w:cs="Arial"/>
                <w:b/>
                <w:bCs/>
                <w:color w:val="FFFFFF"/>
                <w:sz w:val="20"/>
                <w:szCs w:val="20"/>
              </w:rPr>
              <w:t>ROC AUC</w:t>
            </w:r>
          </w:p>
        </w:tc>
      </w:tr>
      <w:tr w14:paraId="3805C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2E47EC1">
            <w:pPr>
              <w:jc w:val="center"/>
              <w:rPr>
                <w:rFonts w:hint="default" w:ascii="Arial" w:hAnsi="Arial" w:cs="Arial"/>
              </w:rPr>
            </w:pPr>
            <w:r>
              <w:rPr>
                <w:rFonts w:hint="default" w:ascii="Arial" w:hAnsi="Arial" w:eastAsia="Times New Roman" w:cs="Arial"/>
                <w:b/>
                <w:bCs/>
                <w:sz w:val="20"/>
                <w:szCs w:val="20"/>
              </w:rPr>
              <w:t>LDA</w:t>
            </w:r>
          </w:p>
        </w:tc>
        <w:tc>
          <w:tcPr>
            <w:tcW w:w="1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BED3A6D">
            <w:pPr>
              <w:jc w:val="center"/>
              <w:rPr>
                <w:rFonts w:hint="default" w:ascii="Arial" w:hAnsi="Arial" w:cs="Arial"/>
              </w:rPr>
            </w:pPr>
            <w:r>
              <w:rPr>
                <w:rFonts w:hint="default" w:ascii="Arial" w:hAnsi="Arial" w:eastAsia="Times New Roman" w:cs="Arial"/>
                <w:sz w:val="20"/>
                <w:szCs w:val="20"/>
              </w:rPr>
              <w:t>63.31%</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576FF70">
            <w:pPr>
              <w:jc w:val="center"/>
              <w:rPr>
                <w:rFonts w:hint="default" w:ascii="Arial" w:hAnsi="Arial" w:cs="Arial"/>
              </w:rPr>
            </w:pPr>
            <w:r>
              <w:rPr>
                <w:rFonts w:hint="default" w:ascii="Arial" w:hAnsi="Arial" w:eastAsia="Times New Roman" w:cs="Arial"/>
                <w:sz w:val="20"/>
                <w:szCs w:val="20"/>
              </w:rPr>
              <w:t>45.00%</w:t>
            </w:r>
          </w:p>
        </w:tc>
        <w:tc>
          <w:tcPr>
            <w:tcW w:w="1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D82ADAE">
            <w:pPr>
              <w:jc w:val="center"/>
              <w:rPr>
                <w:rFonts w:hint="default" w:ascii="Arial" w:hAnsi="Arial" w:cs="Arial"/>
              </w:rPr>
            </w:pPr>
            <w:r>
              <w:rPr>
                <w:rFonts w:hint="default" w:ascii="Arial" w:hAnsi="Arial" w:eastAsia="Times New Roman" w:cs="Arial"/>
                <w:sz w:val="20"/>
                <w:szCs w:val="20"/>
              </w:rPr>
              <w:t>0.4516</w:t>
            </w:r>
          </w:p>
        </w:tc>
        <w:tc>
          <w:tcPr>
            <w:tcW w:w="1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EA8F85E">
            <w:pPr>
              <w:jc w:val="center"/>
              <w:rPr>
                <w:rFonts w:hint="default" w:ascii="Arial" w:hAnsi="Arial" w:cs="Arial"/>
              </w:rPr>
            </w:pPr>
            <w:r>
              <w:rPr>
                <w:rFonts w:hint="default" w:ascii="Arial" w:hAnsi="Arial" w:eastAsia="Times New Roman" w:cs="Arial"/>
                <w:sz w:val="20"/>
                <w:szCs w:val="20"/>
              </w:rPr>
              <w:t>0.4667</w:t>
            </w:r>
          </w:p>
        </w:tc>
        <w:tc>
          <w:tcPr>
            <w:tcW w:w="1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B5D99D4">
            <w:pPr>
              <w:jc w:val="center"/>
              <w:rPr>
                <w:rFonts w:hint="default" w:ascii="Arial" w:hAnsi="Arial" w:cs="Arial"/>
              </w:rPr>
            </w:pPr>
            <w:r>
              <w:rPr>
                <w:rFonts w:hint="default" w:ascii="Arial" w:hAnsi="Arial" w:eastAsia="Times New Roman" w:cs="Arial"/>
                <w:sz w:val="20"/>
                <w:szCs w:val="20"/>
              </w:rPr>
              <w:t>0.4590</w:t>
            </w:r>
          </w:p>
        </w:tc>
        <w:tc>
          <w:tcPr>
            <w:tcW w:w="1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00413DA">
            <w:pPr>
              <w:jc w:val="center"/>
              <w:rPr>
                <w:rFonts w:hint="default" w:ascii="Arial" w:hAnsi="Arial" w:cs="Arial"/>
              </w:rPr>
            </w:pPr>
            <w:r>
              <w:rPr>
                <w:rFonts w:hint="default" w:ascii="Arial" w:hAnsi="Arial" w:eastAsia="Times New Roman" w:cs="Arial"/>
                <w:sz w:val="20"/>
                <w:szCs w:val="20"/>
              </w:rPr>
              <w:t>0.5089</w:t>
            </w:r>
          </w:p>
        </w:tc>
      </w:tr>
      <w:tr w14:paraId="0F4F1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AAAAAA" w:sz="0" w:space="0"/>
              <w:left w:val="single" w:color="AAAAAA" w:sz="0" w:space="0"/>
              <w:bottom w:val="single" w:color="AAAAAA" w:sz="0" w:space="0"/>
              <w:right w:val="single" w:color="AAAAAA" w:sz="0" w:space="0"/>
            </w:tcBorders>
            <w:shd w:val="clear" w:color="auto" w:fill="F2F4F6"/>
            <w:tcMar>
              <w:top w:w="80" w:type="dxa"/>
              <w:left w:w="120" w:type="dxa"/>
              <w:bottom w:w="80" w:type="dxa"/>
              <w:right w:w="120" w:type="dxa"/>
            </w:tcMar>
            <w:vAlign w:val="center"/>
          </w:tcPr>
          <w:p w14:paraId="64EC509F">
            <w:pPr>
              <w:jc w:val="center"/>
              <w:rPr>
                <w:rFonts w:hint="default" w:ascii="Arial" w:hAnsi="Arial" w:cs="Arial"/>
              </w:rPr>
            </w:pPr>
            <w:r>
              <w:rPr>
                <w:rFonts w:hint="default" w:ascii="Arial" w:hAnsi="Arial" w:eastAsia="Times New Roman" w:cs="Arial"/>
                <w:b/>
                <w:bCs/>
                <w:sz w:val="20"/>
                <w:szCs w:val="20"/>
              </w:rPr>
              <w:t>SVM</w:t>
            </w:r>
          </w:p>
        </w:tc>
        <w:tc>
          <w:tcPr>
            <w:tcW w:w="1560" w:type="dxa"/>
            <w:tcBorders>
              <w:top w:val="single" w:color="AAAAAA" w:sz="0" w:space="0"/>
              <w:left w:val="single" w:color="AAAAAA" w:sz="0" w:space="0"/>
              <w:bottom w:val="single" w:color="AAAAAA" w:sz="0" w:space="0"/>
              <w:right w:val="single" w:color="AAAAAA" w:sz="0" w:space="0"/>
            </w:tcBorders>
            <w:shd w:val="clear" w:color="auto" w:fill="F2F4F6"/>
            <w:tcMar>
              <w:top w:w="80" w:type="dxa"/>
              <w:left w:w="120" w:type="dxa"/>
              <w:bottom w:w="80" w:type="dxa"/>
              <w:right w:w="120" w:type="dxa"/>
            </w:tcMar>
            <w:vAlign w:val="center"/>
          </w:tcPr>
          <w:p w14:paraId="58E09383">
            <w:pPr>
              <w:jc w:val="center"/>
              <w:rPr>
                <w:rFonts w:hint="default" w:ascii="Arial" w:hAnsi="Arial" w:cs="Arial"/>
              </w:rPr>
            </w:pPr>
            <w:r>
              <w:rPr>
                <w:rFonts w:hint="default" w:ascii="Arial" w:hAnsi="Arial" w:eastAsia="Times New Roman" w:cs="Arial"/>
                <w:sz w:val="20"/>
                <w:szCs w:val="20"/>
              </w:rPr>
              <w:t>59.71%</w:t>
            </w:r>
          </w:p>
        </w:tc>
        <w:tc>
          <w:tcPr>
            <w:tcW w:w="1400" w:type="dxa"/>
            <w:tcBorders>
              <w:top w:val="single" w:color="AAAAAA" w:sz="0" w:space="0"/>
              <w:left w:val="single" w:color="AAAAAA" w:sz="0" w:space="0"/>
              <w:bottom w:val="single" w:color="AAAAAA" w:sz="0" w:space="0"/>
              <w:right w:val="single" w:color="AAAAAA" w:sz="0" w:space="0"/>
            </w:tcBorders>
            <w:shd w:val="clear" w:color="auto" w:fill="F2F4F6"/>
            <w:tcMar>
              <w:top w:w="80" w:type="dxa"/>
              <w:left w:w="120" w:type="dxa"/>
              <w:bottom w:w="80" w:type="dxa"/>
              <w:right w:w="120" w:type="dxa"/>
            </w:tcMar>
            <w:vAlign w:val="center"/>
          </w:tcPr>
          <w:p w14:paraId="2E97D7B7">
            <w:pPr>
              <w:jc w:val="center"/>
              <w:rPr>
                <w:rFonts w:hint="default" w:ascii="Arial" w:hAnsi="Arial" w:cs="Arial"/>
              </w:rPr>
            </w:pPr>
            <w:r>
              <w:rPr>
                <w:rFonts w:hint="default" w:ascii="Arial" w:hAnsi="Arial" w:eastAsia="Times New Roman" w:cs="Arial"/>
                <w:sz w:val="20"/>
                <w:szCs w:val="20"/>
              </w:rPr>
              <w:t>40.00%</w:t>
            </w:r>
          </w:p>
        </w:tc>
        <w:tc>
          <w:tcPr>
            <w:tcW w:w="1360" w:type="dxa"/>
            <w:tcBorders>
              <w:top w:val="single" w:color="AAAAAA" w:sz="0" w:space="0"/>
              <w:left w:val="single" w:color="AAAAAA" w:sz="0" w:space="0"/>
              <w:bottom w:val="single" w:color="AAAAAA" w:sz="0" w:space="0"/>
              <w:right w:val="single" w:color="AAAAAA" w:sz="0" w:space="0"/>
            </w:tcBorders>
            <w:shd w:val="clear" w:color="auto" w:fill="F2F4F6"/>
            <w:tcMar>
              <w:top w:w="80" w:type="dxa"/>
              <w:left w:w="120" w:type="dxa"/>
              <w:bottom w:w="80" w:type="dxa"/>
              <w:right w:w="120" w:type="dxa"/>
            </w:tcMar>
            <w:vAlign w:val="center"/>
          </w:tcPr>
          <w:p w14:paraId="0B200989">
            <w:pPr>
              <w:jc w:val="center"/>
              <w:rPr>
                <w:rFonts w:hint="default" w:ascii="Arial" w:hAnsi="Arial" w:cs="Arial"/>
              </w:rPr>
            </w:pPr>
            <w:r>
              <w:rPr>
                <w:rFonts w:hint="default" w:ascii="Arial" w:hAnsi="Arial" w:eastAsia="Times New Roman" w:cs="Arial"/>
                <w:sz w:val="20"/>
                <w:szCs w:val="20"/>
              </w:rPr>
              <w:t>0.4211</w:t>
            </w:r>
          </w:p>
        </w:tc>
        <w:tc>
          <w:tcPr>
            <w:tcW w:w="1160" w:type="dxa"/>
            <w:tcBorders>
              <w:top w:val="single" w:color="AAAAAA" w:sz="0" w:space="0"/>
              <w:left w:val="single" w:color="AAAAAA" w:sz="0" w:space="0"/>
              <w:bottom w:val="single" w:color="AAAAAA" w:sz="0" w:space="0"/>
              <w:right w:val="single" w:color="AAAAAA" w:sz="0" w:space="0"/>
            </w:tcBorders>
            <w:shd w:val="clear" w:color="auto" w:fill="F2F4F6"/>
            <w:tcMar>
              <w:top w:w="80" w:type="dxa"/>
              <w:left w:w="120" w:type="dxa"/>
              <w:bottom w:w="80" w:type="dxa"/>
              <w:right w:w="120" w:type="dxa"/>
            </w:tcMar>
            <w:vAlign w:val="center"/>
          </w:tcPr>
          <w:p w14:paraId="6DD25852">
            <w:pPr>
              <w:jc w:val="center"/>
              <w:rPr>
                <w:rFonts w:hint="default" w:ascii="Arial" w:hAnsi="Arial" w:cs="Arial"/>
              </w:rPr>
            </w:pPr>
            <w:r>
              <w:rPr>
                <w:rFonts w:hint="default" w:ascii="Arial" w:hAnsi="Arial" w:eastAsia="Times New Roman" w:cs="Arial"/>
                <w:sz w:val="20"/>
                <w:szCs w:val="20"/>
              </w:rPr>
              <w:t>0.5333</w:t>
            </w:r>
          </w:p>
        </w:tc>
        <w:tc>
          <w:tcPr>
            <w:tcW w:w="1160" w:type="dxa"/>
            <w:tcBorders>
              <w:top w:val="single" w:color="AAAAAA" w:sz="0" w:space="0"/>
              <w:left w:val="single" w:color="AAAAAA" w:sz="0" w:space="0"/>
              <w:bottom w:val="single" w:color="AAAAAA" w:sz="0" w:space="0"/>
              <w:right w:val="single" w:color="AAAAAA" w:sz="0" w:space="0"/>
            </w:tcBorders>
            <w:shd w:val="clear" w:color="auto" w:fill="F2F4F6"/>
            <w:tcMar>
              <w:top w:w="80" w:type="dxa"/>
              <w:left w:w="120" w:type="dxa"/>
              <w:bottom w:w="80" w:type="dxa"/>
              <w:right w:w="120" w:type="dxa"/>
            </w:tcMar>
            <w:vAlign w:val="center"/>
          </w:tcPr>
          <w:p w14:paraId="72A1A8F8">
            <w:pPr>
              <w:jc w:val="center"/>
              <w:rPr>
                <w:rFonts w:hint="default" w:ascii="Arial" w:hAnsi="Arial" w:cs="Arial"/>
              </w:rPr>
            </w:pPr>
            <w:r>
              <w:rPr>
                <w:rFonts w:hint="default" w:ascii="Arial" w:hAnsi="Arial" w:eastAsia="Times New Roman" w:cs="Arial"/>
                <w:sz w:val="20"/>
                <w:szCs w:val="20"/>
              </w:rPr>
              <w:t>0.4706</w:t>
            </w:r>
          </w:p>
        </w:tc>
        <w:tc>
          <w:tcPr>
            <w:tcW w:w="1160" w:type="dxa"/>
            <w:tcBorders>
              <w:top w:val="single" w:color="AAAAAA" w:sz="0" w:space="0"/>
              <w:left w:val="single" w:color="AAAAAA" w:sz="0" w:space="0"/>
              <w:bottom w:val="single" w:color="AAAAAA" w:sz="0" w:space="0"/>
              <w:right w:val="single" w:color="AAAAAA" w:sz="0" w:space="0"/>
            </w:tcBorders>
            <w:shd w:val="clear" w:color="auto" w:fill="F2F4F6"/>
            <w:tcMar>
              <w:top w:w="80" w:type="dxa"/>
              <w:left w:w="120" w:type="dxa"/>
              <w:bottom w:w="80" w:type="dxa"/>
              <w:right w:w="120" w:type="dxa"/>
            </w:tcMar>
            <w:vAlign w:val="center"/>
          </w:tcPr>
          <w:p w14:paraId="3CC2DD30">
            <w:pPr>
              <w:jc w:val="center"/>
              <w:rPr>
                <w:rFonts w:hint="default" w:ascii="Arial" w:hAnsi="Arial" w:cs="Arial"/>
              </w:rPr>
            </w:pPr>
            <w:r>
              <w:rPr>
                <w:rFonts w:hint="default" w:ascii="Arial" w:hAnsi="Arial" w:eastAsia="Times New Roman" w:cs="Arial"/>
                <w:sz w:val="20"/>
                <w:szCs w:val="20"/>
              </w:rPr>
              <w:t>0.4933</w:t>
            </w:r>
          </w:p>
        </w:tc>
      </w:tr>
      <w:tr w14:paraId="58968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DFB73CC">
            <w:pPr>
              <w:jc w:val="center"/>
              <w:rPr>
                <w:rFonts w:hint="default" w:ascii="Arial" w:hAnsi="Arial" w:cs="Arial"/>
              </w:rPr>
            </w:pPr>
            <w:r>
              <w:rPr>
                <w:rFonts w:hint="default" w:ascii="Arial" w:hAnsi="Arial" w:eastAsia="Times New Roman" w:cs="Arial"/>
                <w:b/>
                <w:bCs/>
                <w:sz w:val="20"/>
                <w:szCs w:val="20"/>
              </w:rPr>
              <w:t>Random Forest</w:t>
            </w:r>
          </w:p>
        </w:tc>
        <w:tc>
          <w:tcPr>
            <w:tcW w:w="1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5076BF0">
            <w:pPr>
              <w:jc w:val="center"/>
              <w:rPr>
                <w:rFonts w:hint="default" w:ascii="Arial" w:hAnsi="Arial" w:cs="Arial"/>
              </w:rPr>
            </w:pPr>
            <w:r>
              <w:rPr>
                <w:rFonts w:hint="default" w:ascii="Arial" w:hAnsi="Arial" w:eastAsia="Times New Roman" w:cs="Arial"/>
                <w:sz w:val="20"/>
                <w:szCs w:val="20"/>
              </w:rPr>
              <w:t>100.00%</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E37FD79">
            <w:pPr>
              <w:jc w:val="center"/>
              <w:rPr>
                <w:rFonts w:hint="default" w:ascii="Arial" w:hAnsi="Arial" w:cs="Arial"/>
              </w:rPr>
            </w:pPr>
            <w:r>
              <w:rPr>
                <w:rFonts w:hint="default" w:ascii="Arial" w:hAnsi="Arial" w:eastAsia="Times New Roman" w:cs="Arial"/>
                <w:sz w:val="20"/>
                <w:szCs w:val="20"/>
              </w:rPr>
              <w:t>61.67%</w:t>
            </w:r>
          </w:p>
        </w:tc>
        <w:tc>
          <w:tcPr>
            <w:tcW w:w="1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C245B6D">
            <w:pPr>
              <w:jc w:val="center"/>
              <w:rPr>
                <w:rFonts w:hint="default" w:ascii="Arial" w:hAnsi="Arial" w:cs="Arial"/>
              </w:rPr>
            </w:pPr>
            <w:r>
              <w:rPr>
                <w:rFonts w:hint="default" w:ascii="Arial" w:hAnsi="Arial" w:eastAsia="Times New Roman" w:cs="Arial"/>
                <w:sz w:val="20"/>
                <w:szCs w:val="20"/>
              </w:rPr>
              <w:t>0.6129</w:t>
            </w:r>
          </w:p>
        </w:tc>
        <w:tc>
          <w:tcPr>
            <w:tcW w:w="1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118FE85">
            <w:pPr>
              <w:jc w:val="center"/>
              <w:rPr>
                <w:rFonts w:hint="default" w:ascii="Arial" w:hAnsi="Arial" w:cs="Arial"/>
              </w:rPr>
            </w:pPr>
            <w:r>
              <w:rPr>
                <w:rFonts w:hint="default" w:ascii="Arial" w:hAnsi="Arial" w:eastAsia="Times New Roman" w:cs="Arial"/>
                <w:sz w:val="20"/>
                <w:szCs w:val="20"/>
              </w:rPr>
              <w:t>0.6333</w:t>
            </w:r>
          </w:p>
        </w:tc>
        <w:tc>
          <w:tcPr>
            <w:tcW w:w="1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35FF6C2">
            <w:pPr>
              <w:jc w:val="center"/>
              <w:rPr>
                <w:rFonts w:hint="default" w:ascii="Arial" w:hAnsi="Arial" w:cs="Arial"/>
              </w:rPr>
            </w:pPr>
            <w:r>
              <w:rPr>
                <w:rFonts w:hint="default" w:ascii="Arial" w:hAnsi="Arial" w:eastAsia="Times New Roman" w:cs="Arial"/>
                <w:sz w:val="20"/>
                <w:szCs w:val="20"/>
              </w:rPr>
              <w:t>0.6230</w:t>
            </w:r>
          </w:p>
        </w:tc>
        <w:tc>
          <w:tcPr>
            <w:tcW w:w="1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B068145">
            <w:pPr>
              <w:jc w:val="center"/>
              <w:rPr>
                <w:rFonts w:hint="default" w:ascii="Arial" w:hAnsi="Arial" w:cs="Arial"/>
              </w:rPr>
            </w:pPr>
            <w:r>
              <w:rPr>
                <w:rFonts w:hint="default" w:ascii="Arial" w:hAnsi="Arial" w:eastAsia="Times New Roman" w:cs="Arial"/>
                <w:sz w:val="20"/>
                <w:szCs w:val="20"/>
              </w:rPr>
              <w:t>0.5372</w:t>
            </w:r>
          </w:p>
        </w:tc>
      </w:tr>
      <w:tr w14:paraId="4C279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AAAAAA" w:sz="0" w:space="0"/>
              <w:left w:val="single" w:color="AAAAAA" w:sz="0" w:space="0"/>
              <w:bottom w:val="single" w:color="AAAAAA" w:sz="0" w:space="0"/>
              <w:right w:val="single" w:color="AAAAAA" w:sz="0" w:space="0"/>
            </w:tcBorders>
            <w:shd w:val="clear" w:color="auto" w:fill="F2F4F6"/>
            <w:tcMar>
              <w:top w:w="80" w:type="dxa"/>
              <w:left w:w="120" w:type="dxa"/>
              <w:bottom w:w="80" w:type="dxa"/>
              <w:right w:w="120" w:type="dxa"/>
            </w:tcMar>
            <w:vAlign w:val="center"/>
          </w:tcPr>
          <w:p w14:paraId="4E850C23">
            <w:pPr>
              <w:jc w:val="center"/>
              <w:rPr>
                <w:rFonts w:hint="default" w:ascii="Arial" w:hAnsi="Arial" w:cs="Arial"/>
              </w:rPr>
            </w:pPr>
            <w:r>
              <w:rPr>
                <w:rFonts w:hint="default" w:ascii="Arial" w:hAnsi="Arial" w:eastAsia="Times New Roman" w:cs="Arial"/>
                <w:b/>
                <w:bCs/>
                <w:sz w:val="20"/>
                <w:szCs w:val="20"/>
              </w:rPr>
              <w:t>KNN</w:t>
            </w:r>
          </w:p>
        </w:tc>
        <w:tc>
          <w:tcPr>
            <w:tcW w:w="1560" w:type="dxa"/>
            <w:tcBorders>
              <w:top w:val="single" w:color="AAAAAA" w:sz="0" w:space="0"/>
              <w:left w:val="single" w:color="AAAAAA" w:sz="0" w:space="0"/>
              <w:bottom w:val="single" w:color="AAAAAA" w:sz="0" w:space="0"/>
              <w:right w:val="single" w:color="AAAAAA" w:sz="0" w:space="0"/>
            </w:tcBorders>
            <w:shd w:val="clear" w:color="auto" w:fill="F2F4F6"/>
            <w:tcMar>
              <w:top w:w="80" w:type="dxa"/>
              <w:left w:w="120" w:type="dxa"/>
              <w:bottom w:w="80" w:type="dxa"/>
              <w:right w:w="120" w:type="dxa"/>
            </w:tcMar>
            <w:vAlign w:val="center"/>
          </w:tcPr>
          <w:p w14:paraId="4FCFBD19">
            <w:pPr>
              <w:jc w:val="center"/>
              <w:rPr>
                <w:rFonts w:hint="default" w:ascii="Arial" w:hAnsi="Arial" w:cs="Arial"/>
              </w:rPr>
            </w:pPr>
            <w:r>
              <w:rPr>
                <w:rFonts w:hint="default" w:ascii="Arial" w:hAnsi="Arial" w:eastAsia="Times New Roman" w:cs="Arial"/>
                <w:sz w:val="20"/>
                <w:szCs w:val="20"/>
              </w:rPr>
              <w:t>66.19%</w:t>
            </w:r>
          </w:p>
        </w:tc>
        <w:tc>
          <w:tcPr>
            <w:tcW w:w="1400" w:type="dxa"/>
            <w:tcBorders>
              <w:top w:val="single" w:color="AAAAAA" w:sz="0" w:space="0"/>
              <w:left w:val="single" w:color="AAAAAA" w:sz="0" w:space="0"/>
              <w:bottom w:val="single" w:color="AAAAAA" w:sz="0" w:space="0"/>
              <w:right w:val="single" w:color="AAAAAA" w:sz="0" w:space="0"/>
            </w:tcBorders>
            <w:shd w:val="clear" w:color="auto" w:fill="F2F4F6"/>
            <w:tcMar>
              <w:top w:w="80" w:type="dxa"/>
              <w:left w:w="120" w:type="dxa"/>
              <w:bottom w:w="80" w:type="dxa"/>
              <w:right w:w="120" w:type="dxa"/>
            </w:tcMar>
            <w:vAlign w:val="center"/>
          </w:tcPr>
          <w:p w14:paraId="2622D545">
            <w:pPr>
              <w:jc w:val="center"/>
              <w:rPr>
                <w:rFonts w:hint="default" w:ascii="Arial" w:hAnsi="Arial" w:cs="Arial"/>
              </w:rPr>
            </w:pPr>
            <w:r>
              <w:rPr>
                <w:rFonts w:hint="default" w:ascii="Arial" w:hAnsi="Arial" w:eastAsia="Times New Roman" w:cs="Arial"/>
                <w:sz w:val="20"/>
                <w:szCs w:val="20"/>
              </w:rPr>
              <w:t>46.67%</w:t>
            </w:r>
          </w:p>
        </w:tc>
        <w:tc>
          <w:tcPr>
            <w:tcW w:w="1360" w:type="dxa"/>
            <w:tcBorders>
              <w:top w:val="single" w:color="AAAAAA" w:sz="0" w:space="0"/>
              <w:left w:val="single" w:color="AAAAAA" w:sz="0" w:space="0"/>
              <w:bottom w:val="single" w:color="AAAAAA" w:sz="0" w:space="0"/>
              <w:right w:val="single" w:color="AAAAAA" w:sz="0" w:space="0"/>
            </w:tcBorders>
            <w:shd w:val="clear" w:color="auto" w:fill="F2F4F6"/>
            <w:tcMar>
              <w:top w:w="80" w:type="dxa"/>
              <w:left w:w="120" w:type="dxa"/>
              <w:bottom w:w="80" w:type="dxa"/>
              <w:right w:w="120" w:type="dxa"/>
            </w:tcMar>
            <w:vAlign w:val="center"/>
          </w:tcPr>
          <w:p w14:paraId="5EEB1649">
            <w:pPr>
              <w:jc w:val="center"/>
              <w:rPr>
                <w:rFonts w:hint="default" w:ascii="Arial" w:hAnsi="Arial" w:cs="Arial"/>
              </w:rPr>
            </w:pPr>
            <w:r>
              <w:rPr>
                <w:rFonts w:hint="default" w:ascii="Arial" w:hAnsi="Arial" w:eastAsia="Times New Roman" w:cs="Arial"/>
                <w:sz w:val="20"/>
                <w:szCs w:val="20"/>
              </w:rPr>
              <w:t>0.4706</w:t>
            </w:r>
          </w:p>
        </w:tc>
        <w:tc>
          <w:tcPr>
            <w:tcW w:w="1160" w:type="dxa"/>
            <w:tcBorders>
              <w:top w:val="single" w:color="AAAAAA" w:sz="0" w:space="0"/>
              <w:left w:val="single" w:color="AAAAAA" w:sz="0" w:space="0"/>
              <w:bottom w:val="single" w:color="AAAAAA" w:sz="0" w:space="0"/>
              <w:right w:val="single" w:color="AAAAAA" w:sz="0" w:space="0"/>
            </w:tcBorders>
            <w:shd w:val="clear" w:color="auto" w:fill="F2F4F6"/>
            <w:tcMar>
              <w:top w:w="80" w:type="dxa"/>
              <w:left w:w="120" w:type="dxa"/>
              <w:bottom w:w="80" w:type="dxa"/>
              <w:right w:w="120" w:type="dxa"/>
            </w:tcMar>
            <w:vAlign w:val="center"/>
          </w:tcPr>
          <w:p w14:paraId="5A1A3F75">
            <w:pPr>
              <w:jc w:val="center"/>
              <w:rPr>
                <w:rFonts w:hint="default" w:ascii="Arial" w:hAnsi="Arial" w:cs="Arial"/>
              </w:rPr>
            </w:pPr>
            <w:r>
              <w:rPr>
                <w:rFonts w:hint="default" w:ascii="Arial" w:hAnsi="Arial" w:eastAsia="Times New Roman" w:cs="Arial"/>
                <w:sz w:val="20"/>
                <w:szCs w:val="20"/>
              </w:rPr>
              <w:t>0.5333</w:t>
            </w:r>
          </w:p>
        </w:tc>
        <w:tc>
          <w:tcPr>
            <w:tcW w:w="1160" w:type="dxa"/>
            <w:tcBorders>
              <w:top w:val="single" w:color="AAAAAA" w:sz="0" w:space="0"/>
              <w:left w:val="single" w:color="AAAAAA" w:sz="0" w:space="0"/>
              <w:bottom w:val="single" w:color="AAAAAA" w:sz="0" w:space="0"/>
              <w:right w:val="single" w:color="AAAAAA" w:sz="0" w:space="0"/>
            </w:tcBorders>
            <w:shd w:val="clear" w:color="auto" w:fill="F2F4F6"/>
            <w:tcMar>
              <w:top w:w="80" w:type="dxa"/>
              <w:left w:w="120" w:type="dxa"/>
              <w:bottom w:w="80" w:type="dxa"/>
              <w:right w:w="120" w:type="dxa"/>
            </w:tcMar>
            <w:vAlign w:val="center"/>
          </w:tcPr>
          <w:p w14:paraId="18363AE7">
            <w:pPr>
              <w:jc w:val="center"/>
              <w:rPr>
                <w:rFonts w:hint="default" w:ascii="Arial" w:hAnsi="Arial" w:cs="Arial"/>
              </w:rPr>
            </w:pPr>
            <w:r>
              <w:rPr>
                <w:rFonts w:hint="default" w:ascii="Arial" w:hAnsi="Arial" w:eastAsia="Times New Roman" w:cs="Arial"/>
                <w:sz w:val="20"/>
                <w:szCs w:val="20"/>
              </w:rPr>
              <w:t>0.5000</w:t>
            </w:r>
          </w:p>
        </w:tc>
        <w:tc>
          <w:tcPr>
            <w:tcW w:w="1160" w:type="dxa"/>
            <w:tcBorders>
              <w:top w:val="single" w:color="AAAAAA" w:sz="0" w:space="0"/>
              <w:left w:val="single" w:color="AAAAAA" w:sz="0" w:space="0"/>
              <w:bottom w:val="single" w:color="AAAAAA" w:sz="0" w:space="0"/>
              <w:right w:val="single" w:color="AAAAAA" w:sz="0" w:space="0"/>
            </w:tcBorders>
            <w:shd w:val="clear" w:color="auto" w:fill="F2F4F6"/>
            <w:tcMar>
              <w:top w:w="80" w:type="dxa"/>
              <w:left w:w="120" w:type="dxa"/>
              <w:bottom w:w="80" w:type="dxa"/>
              <w:right w:w="120" w:type="dxa"/>
            </w:tcMar>
            <w:vAlign w:val="center"/>
          </w:tcPr>
          <w:p w14:paraId="1A926962">
            <w:pPr>
              <w:jc w:val="center"/>
              <w:rPr>
                <w:rFonts w:hint="default" w:ascii="Arial" w:hAnsi="Arial" w:cs="Arial"/>
              </w:rPr>
            </w:pPr>
            <w:r>
              <w:rPr>
                <w:rFonts w:hint="default" w:ascii="Arial" w:hAnsi="Arial" w:eastAsia="Times New Roman" w:cs="Arial"/>
                <w:sz w:val="20"/>
                <w:szCs w:val="20"/>
              </w:rPr>
              <w:t>0.4578</w:t>
            </w:r>
          </w:p>
        </w:tc>
      </w:tr>
    </w:tbl>
    <w:p w14:paraId="32E83549">
      <w:pPr>
        <w:spacing w:before="80" w:after="200"/>
        <w:jc w:val="center"/>
        <w:rPr>
          <w:rFonts w:hint="default" w:ascii="Arial" w:hAnsi="Arial" w:cs="Arial"/>
        </w:rPr>
      </w:pPr>
      <w:r>
        <w:rPr>
          <w:rFonts w:hint="default" w:ascii="Arial" w:hAnsi="Arial" w:eastAsia="Times New Roman" w:cs="Arial"/>
          <w:i/>
          <w:iCs/>
          <w:color w:val="555555"/>
          <w:sz w:val="20"/>
          <w:szCs w:val="20"/>
        </w:rPr>
        <w:t>Table 5.1: Classification performance on the BCI Competition IV Dataset 2a.</w:t>
      </w:r>
    </w:p>
    <w:p w14:paraId="31B8F3A4">
      <w:pPr>
        <w:spacing w:before="60" w:after="60"/>
        <w:rPr>
          <w:rFonts w:hint="default" w:ascii="Arial" w:hAnsi="Arial" w:cs="Arial"/>
        </w:rPr>
      </w:pPr>
    </w:p>
    <w:p w14:paraId="1F9ABF95">
      <w:pPr>
        <w:spacing w:before="80" w:after="80" w:line="360" w:lineRule="auto"/>
        <w:ind w:firstLine="720"/>
        <w:jc w:val="both"/>
        <w:rPr>
          <w:rFonts w:hint="default" w:ascii="Arial" w:hAnsi="Arial" w:cs="Arial"/>
        </w:rPr>
      </w:pPr>
      <w:r>
        <w:rPr>
          <w:rFonts w:hint="default" w:ascii="Arial" w:hAnsi="Arial" w:eastAsia="Times New Roman" w:cs="Arial"/>
          <w:sz w:val="24"/>
          <w:szCs w:val="24"/>
        </w:rPr>
        <w:t>Key observations: Random Forest achieved the highest test accuracy (61.67%) but showed significant overfitting, as evidenced by a 100% training accuracy. LDA demonstrated the most stable performance with a moderate training-test gap. KNN provided competitive baseline performance given its simplicity.</w:t>
      </w:r>
    </w:p>
    <w:p w14:paraId="2431C934">
      <w:pPr>
        <w:pStyle w:val="4"/>
        <w:spacing w:before="240" w:after="120"/>
        <w:rPr>
          <w:rFonts w:hint="default" w:ascii="Arial" w:hAnsi="Arial" w:eastAsia="Times New Roman" w:cs="Arial"/>
          <w:b/>
          <w:bCs/>
          <w:sz w:val="24"/>
          <w:szCs w:val="24"/>
        </w:rPr>
      </w:pPr>
    </w:p>
    <w:p w14:paraId="26525160">
      <w:pPr>
        <w:pStyle w:val="4"/>
        <w:spacing w:before="240" w:after="120"/>
        <w:rPr>
          <w:rFonts w:hint="default" w:ascii="Arial" w:hAnsi="Arial" w:eastAsia="Times New Roman" w:cs="Arial"/>
          <w:b/>
          <w:bCs/>
          <w:sz w:val="24"/>
          <w:szCs w:val="24"/>
        </w:rPr>
      </w:pPr>
    </w:p>
    <w:p w14:paraId="40263690">
      <w:pPr>
        <w:pStyle w:val="4"/>
        <w:spacing w:before="240" w:after="120"/>
        <w:rPr>
          <w:rFonts w:hint="default" w:ascii="Arial" w:hAnsi="Arial" w:eastAsia="Times New Roman" w:cs="Arial"/>
          <w:b/>
          <w:bCs/>
          <w:sz w:val="24"/>
          <w:szCs w:val="24"/>
        </w:rPr>
      </w:pPr>
    </w:p>
    <w:p w14:paraId="303C36DE">
      <w:pPr>
        <w:pStyle w:val="4"/>
        <w:spacing w:before="240" w:after="120"/>
        <w:rPr>
          <w:rFonts w:hint="default" w:ascii="Arial" w:hAnsi="Arial" w:eastAsia="Times New Roman" w:cs="Arial"/>
          <w:b/>
          <w:bCs/>
          <w:sz w:val="24"/>
          <w:szCs w:val="24"/>
        </w:rPr>
      </w:pPr>
    </w:p>
    <w:p w14:paraId="6BE3E1B5">
      <w:pPr>
        <w:pStyle w:val="4"/>
        <w:spacing w:before="240" w:after="120"/>
        <w:rPr>
          <w:rFonts w:hint="default" w:ascii="Arial" w:hAnsi="Arial" w:eastAsia="Times New Roman" w:cs="Arial"/>
          <w:b/>
          <w:bCs/>
          <w:sz w:val="24"/>
          <w:szCs w:val="24"/>
        </w:rPr>
      </w:pPr>
    </w:p>
    <w:p w14:paraId="564A848B">
      <w:pPr>
        <w:pStyle w:val="4"/>
        <w:spacing w:before="240" w:after="120"/>
        <w:rPr>
          <w:rFonts w:hint="default" w:ascii="Arial" w:hAnsi="Arial" w:cs="Arial"/>
        </w:rPr>
      </w:pPr>
      <w:r>
        <w:rPr>
          <w:rFonts w:hint="default" w:ascii="Arial" w:hAnsi="Arial" w:eastAsia="Times New Roman" w:cs="Arial"/>
          <w:b/>
          <w:bCs/>
          <w:sz w:val="24"/>
          <w:szCs w:val="24"/>
        </w:rPr>
        <w:t>5.5.2 PhysioNet Dataset Results (19 Subjects, 95% Confidence Interval)</w:t>
      </w:r>
    </w:p>
    <w:p w14:paraId="1F921DF3">
      <w:pPr>
        <w:spacing w:before="60" w:after="60"/>
        <w:rPr>
          <w:rFonts w:hint="default" w:ascii="Arial" w:hAnsi="Arial" w:cs="Aria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1560"/>
        <w:gridCol w:w="3120"/>
      </w:tblGrid>
      <w:tr w14:paraId="6B0B1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vAlign w:val="center"/>
          </w:tcPr>
          <w:p w14:paraId="617E24FD">
            <w:pPr>
              <w:jc w:val="center"/>
              <w:rPr>
                <w:rFonts w:hint="default" w:ascii="Arial" w:hAnsi="Arial" w:cs="Arial"/>
              </w:rPr>
            </w:pPr>
            <w:r>
              <w:rPr>
                <w:rFonts w:hint="default" w:ascii="Arial" w:hAnsi="Arial" w:eastAsia="Times New Roman" w:cs="Arial"/>
                <w:b/>
                <w:bCs/>
                <w:color w:val="FFFFFF"/>
                <w:sz w:val="20"/>
                <w:szCs w:val="20"/>
              </w:rPr>
              <w:t>Model</w:t>
            </w:r>
          </w:p>
        </w:tc>
        <w:tc>
          <w:tcPr>
            <w:tcW w:w="234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vAlign w:val="center"/>
          </w:tcPr>
          <w:p w14:paraId="6EA73908">
            <w:pPr>
              <w:jc w:val="center"/>
              <w:rPr>
                <w:rFonts w:hint="default" w:ascii="Arial" w:hAnsi="Arial" w:cs="Arial"/>
              </w:rPr>
            </w:pPr>
            <w:r>
              <w:rPr>
                <w:rFonts w:hint="default" w:ascii="Arial" w:hAnsi="Arial" w:eastAsia="Times New Roman" w:cs="Arial"/>
                <w:b/>
                <w:bCs/>
                <w:color w:val="FFFFFF"/>
                <w:sz w:val="20"/>
                <w:szCs w:val="20"/>
              </w:rPr>
              <w:t>Test Accuracy</w:t>
            </w:r>
          </w:p>
        </w:tc>
        <w:tc>
          <w:tcPr>
            <w:tcW w:w="156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vAlign w:val="center"/>
          </w:tcPr>
          <w:p w14:paraId="43AF541C">
            <w:pPr>
              <w:jc w:val="center"/>
              <w:rPr>
                <w:rFonts w:hint="default" w:ascii="Arial" w:hAnsi="Arial" w:cs="Arial"/>
              </w:rPr>
            </w:pPr>
            <w:r>
              <w:rPr>
                <w:rFonts w:hint="default" w:ascii="Arial" w:hAnsi="Arial" w:eastAsia="Times New Roman" w:cs="Arial"/>
                <w:b/>
                <w:bCs/>
                <w:color w:val="FFFFFF"/>
                <w:sz w:val="20"/>
                <w:szCs w:val="20"/>
              </w:rPr>
              <w:t>Rank</w:t>
            </w:r>
          </w:p>
        </w:tc>
        <w:tc>
          <w:tcPr>
            <w:tcW w:w="312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vAlign w:val="center"/>
          </w:tcPr>
          <w:p w14:paraId="4B90CB47">
            <w:pPr>
              <w:jc w:val="center"/>
              <w:rPr>
                <w:rFonts w:hint="default" w:ascii="Arial" w:hAnsi="Arial" w:cs="Arial"/>
              </w:rPr>
            </w:pPr>
            <w:r>
              <w:rPr>
                <w:rFonts w:hint="default" w:ascii="Arial" w:hAnsi="Arial" w:eastAsia="Times New Roman" w:cs="Arial"/>
                <w:b/>
                <w:bCs/>
                <w:color w:val="FFFFFF"/>
                <w:sz w:val="20"/>
                <w:szCs w:val="20"/>
              </w:rPr>
              <w:t>Optimization Details</w:t>
            </w:r>
          </w:p>
        </w:tc>
      </w:tr>
      <w:tr w14:paraId="6469F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B7031EA">
            <w:pPr>
              <w:jc w:val="center"/>
              <w:rPr>
                <w:rFonts w:hint="default" w:ascii="Arial" w:hAnsi="Arial" w:cs="Arial"/>
              </w:rPr>
            </w:pPr>
            <w:r>
              <w:rPr>
                <w:rFonts w:hint="default" w:ascii="Arial" w:hAnsi="Arial" w:eastAsia="Times New Roman" w:cs="Arial"/>
                <w:b/>
                <w:bCs/>
                <w:sz w:val="20"/>
                <w:szCs w:val="20"/>
              </w:rPr>
              <w:t>LDA</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11BB667">
            <w:pPr>
              <w:jc w:val="center"/>
              <w:rPr>
                <w:rFonts w:hint="default" w:ascii="Arial" w:hAnsi="Arial" w:cs="Arial"/>
              </w:rPr>
            </w:pPr>
            <w:r>
              <w:rPr>
                <w:rFonts w:hint="default" w:ascii="Arial" w:hAnsi="Arial" w:eastAsia="Times New Roman" w:cs="Arial"/>
                <w:sz w:val="20"/>
                <w:szCs w:val="20"/>
              </w:rPr>
              <w:t>54.03%</w:t>
            </w:r>
          </w:p>
        </w:tc>
        <w:tc>
          <w:tcPr>
            <w:tcW w:w="1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E7E5613">
            <w:pPr>
              <w:jc w:val="center"/>
              <w:rPr>
                <w:rFonts w:hint="default" w:ascii="Arial" w:hAnsi="Arial" w:cs="Arial"/>
              </w:rPr>
            </w:pPr>
            <w:r>
              <w:rPr>
                <w:rFonts w:hint="default" w:ascii="Arial" w:hAnsi="Arial" w:eastAsia="Times New Roman" w:cs="Arial"/>
                <w:sz w:val="20"/>
                <w:szCs w:val="20"/>
              </w:rPr>
              <w:t>1st</w:t>
            </w:r>
          </w:p>
        </w:tc>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DB75819">
            <w:pPr>
              <w:jc w:val="center"/>
              <w:rPr>
                <w:rFonts w:hint="default" w:ascii="Arial" w:hAnsi="Arial" w:cs="Arial"/>
              </w:rPr>
            </w:pPr>
            <w:r>
              <w:rPr>
                <w:rFonts w:hint="default" w:ascii="Arial" w:hAnsi="Arial" w:eastAsia="Times New Roman" w:cs="Arial"/>
                <w:sz w:val="20"/>
                <w:szCs w:val="20"/>
              </w:rPr>
              <w:t>Shrinkage regularization (Ledoit-Wolf)</w:t>
            </w:r>
          </w:p>
        </w:tc>
      </w:tr>
      <w:tr w14:paraId="308C5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shd w:val="clear" w:color="auto" w:fill="F2F4F6"/>
            <w:tcMar>
              <w:top w:w="80" w:type="dxa"/>
              <w:left w:w="120" w:type="dxa"/>
              <w:bottom w:w="80" w:type="dxa"/>
              <w:right w:w="120" w:type="dxa"/>
            </w:tcMar>
            <w:vAlign w:val="center"/>
          </w:tcPr>
          <w:p w14:paraId="67386187">
            <w:pPr>
              <w:jc w:val="center"/>
              <w:rPr>
                <w:rFonts w:hint="default" w:ascii="Arial" w:hAnsi="Arial" w:cs="Arial"/>
              </w:rPr>
            </w:pPr>
            <w:r>
              <w:rPr>
                <w:rFonts w:hint="default" w:ascii="Arial" w:hAnsi="Arial" w:eastAsia="Times New Roman" w:cs="Arial"/>
                <w:b/>
                <w:bCs/>
                <w:sz w:val="20"/>
                <w:szCs w:val="20"/>
              </w:rPr>
              <w:t>SVM (RBF)</w:t>
            </w:r>
          </w:p>
        </w:tc>
        <w:tc>
          <w:tcPr>
            <w:tcW w:w="2340" w:type="dxa"/>
            <w:tcBorders>
              <w:top w:val="single" w:color="AAAAAA" w:sz="0" w:space="0"/>
              <w:left w:val="single" w:color="AAAAAA" w:sz="0" w:space="0"/>
              <w:bottom w:val="single" w:color="AAAAAA" w:sz="0" w:space="0"/>
              <w:right w:val="single" w:color="AAAAAA" w:sz="0" w:space="0"/>
            </w:tcBorders>
            <w:shd w:val="clear" w:color="auto" w:fill="F2F4F6"/>
            <w:tcMar>
              <w:top w:w="80" w:type="dxa"/>
              <w:left w:w="120" w:type="dxa"/>
              <w:bottom w:w="80" w:type="dxa"/>
              <w:right w:w="120" w:type="dxa"/>
            </w:tcMar>
            <w:vAlign w:val="center"/>
          </w:tcPr>
          <w:p w14:paraId="08C9AF7B">
            <w:pPr>
              <w:jc w:val="center"/>
              <w:rPr>
                <w:rFonts w:hint="default" w:ascii="Arial" w:hAnsi="Arial" w:cs="Arial"/>
              </w:rPr>
            </w:pPr>
            <w:r>
              <w:rPr>
                <w:rFonts w:hint="default" w:ascii="Arial" w:hAnsi="Arial" w:eastAsia="Times New Roman" w:cs="Arial"/>
                <w:sz w:val="20"/>
                <w:szCs w:val="20"/>
              </w:rPr>
              <w:t>53.19%</w:t>
            </w:r>
          </w:p>
        </w:tc>
        <w:tc>
          <w:tcPr>
            <w:tcW w:w="1560" w:type="dxa"/>
            <w:tcBorders>
              <w:top w:val="single" w:color="AAAAAA" w:sz="0" w:space="0"/>
              <w:left w:val="single" w:color="AAAAAA" w:sz="0" w:space="0"/>
              <w:bottom w:val="single" w:color="AAAAAA" w:sz="0" w:space="0"/>
              <w:right w:val="single" w:color="AAAAAA" w:sz="0" w:space="0"/>
            </w:tcBorders>
            <w:shd w:val="clear" w:color="auto" w:fill="F2F4F6"/>
            <w:tcMar>
              <w:top w:w="80" w:type="dxa"/>
              <w:left w:w="120" w:type="dxa"/>
              <w:bottom w:w="80" w:type="dxa"/>
              <w:right w:w="120" w:type="dxa"/>
            </w:tcMar>
            <w:vAlign w:val="center"/>
          </w:tcPr>
          <w:p w14:paraId="5FB9977A">
            <w:pPr>
              <w:jc w:val="center"/>
              <w:rPr>
                <w:rFonts w:hint="default" w:ascii="Arial" w:hAnsi="Arial" w:cs="Arial"/>
              </w:rPr>
            </w:pPr>
            <w:r>
              <w:rPr>
                <w:rFonts w:hint="default" w:ascii="Arial" w:hAnsi="Arial" w:eastAsia="Times New Roman" w:cs="Arial"/>
                <w:sz w:val="20"/>
                <w:szCs w:val="20"/>
              </w:rPr>
              <w:t>2nd</w:t>
            </w:r>
          </w:p>
        </w:tc>
        <w:tc>
          <w:tcPr>
            <w:tcW w:w="3120" w:type="dxa"/>
            <w:tcBorders>
              <w:top w:val="single" w:color="AAAAAA" w:sz="0" w:space="0"/>
              <w:left w:val="single" w:color="AAAAAA" w:sz="0" w:space="0"/>
              <w:bottom w:val="single" w:color="AAAAAA" w:sz="0" w:space="0"/>
              <w:right w:val="single" w:color="AAAAAA" w:sz="0" w:space="0"/>
            </w:tcBorders>
            <w:shd w:val="clear" w:color="auto" w:fill="F2F4F6"/>
            <w:tcMar>
              <w:top w:w="80" w:type="dxa"/>
              <w:left w:w="120" w:type="dxa"/>
              <w:bottom w:w="80" w:type="dxa"/>
              <w:right w:w="120" w:type="dxa"/>
            </w:tcMar>
            <w:vAlign w:val="center"/>
          </w:tcPr>
          <w:p w14:paraId="222583C2">
            <w:pPr>
              <w:jc w:val="center"/>
              <w:rPr>
                <w:rFonts w:hint="default" w:ascii="Arial" w:hAnsi="Arial" w:cs="Arial"/>
              </w:rPr>
            </w:pPr>
            <w:r>
              <w:rPr>
                <w:rFonts w:hint="default" w:ascii="Arial" w:hAnsi="Arial" w:eastAsia="Times New Roman" w:cs="Arial"/>
                <w:sz w:val="20"/>
                <w:szCs w:val="20"/>
              </w:rPr>
              <w:t>C=1, gamma=0.001, kernel='rbf'</w:t>
            </w:r>
          </w:p>
        </w:tc>
      </w:tr>
      <w:tr w14:paraId="4975E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83D2603">
            <w:pPr>
              <w:jc w:val="center"/>
              <w:rPr>
                <w:rFonts w:hint="default" w:ascii="Arial" w:hAnsi="Arial" w:cs="Arial"/>
              </w:rPr>
            </w:pPr>
            <w:r>
              <w:rPr>
                <w:rFonts w:hint="default" w:ascii="Arial" w:hAnsi="Arial" w:eastAsia="Times New Roman" w:cs="Arial"/>
                <w:b/>
                <w:bCs/>
                <w:sz w:val="20"/>
                <w:szCs w:val="20"/>
              </w:rPr>
              <w:t>XGBoost</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A7ABB5D">
            <w:pPr>
              <w:jc w:val="center"/>
              <w:rPr>
                <w:rFonts w:hint="default" w:ascii="Arial" w:hAnsi="Arial" w:cs="Arial"/>
              </w:rPr>
            </w:pPr>
            <w:r>
              <w:rPr>
                <w:rFonts w:hint="default" w:ascii="Arial" w:hAnsi="Arial" w:eastAsia="Times New Roman" w:cs="Arial"/>
                <w:sz w:val="20"/>
                <w:szCs w:val="20"/>
              </w:rPr>
              <w:t>52.92%</w:t>
            </w:r>
          </w:p>
        </w:tc>
        <w:tc>
          <w:tcPr>
            <w:tcW w:w="1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21922EF">
            <w:pPr>
              <w:jc w:val="center"/>
              <w:rPr>
                <w:rFonts w:hint="default" w:ascii="Arial" w:hAnsi="Arial" w:cs="Arial"/>
              </w:rPr>
            </w:pPr>
            <w:r>
              <w:rPr>
                <w:rFonts w:hint="default" w:ascii="Arial" w:hAnsi="Arial" w:eastAsia="Times New Roman" w:cs="Arial"/>
                <w:sz w:val="20"/>
                <w:szCs w:val="20"/>
              </w:rPr>
              <w:t>3rd</w:t>
            </w:r>
          </w:p>
        </w:tc>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4365121">
            <w:pPr>
              <w:jc w:val="center"/>
              <w:rPr>
                <w:rFonts w:hint="default" w:ascii="Arial" w:hAnsi="Arial" w:cs="Arial"/>
              </w:rPr>
            </w:pPr>
            <w:r>
              <w:rPr>
                <w:rFonts w:hint="default" w:ascii="Arial" w:hAnsi="Arial" w:eastAsia="Times New Roman" w:cs="Arial"/>
                <w:sz w:val="20"/>
                <w:szCs w:val="20"/>
              </w:rPr>
              <w:t>n_estimators=200, depth=3, lr=0.01</w:t>
            </w:r>
          </w:p>
        </w:tc>
      </w:tr>
      <w:tr w14:paraId="6BDD7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shd w:val="clear" w:color="auto" w:fill="F2F4F6"/>
            <w:tcMar>
              <w:top w:w="80" w:type="dxa"/>
              <w:left w:w="120" w:type="dxa"/>
              <w:bottom w:w="80" w:type="dxa"/>
              <w:right w:w="120" w:type="dxa"/>
            </w:tcMar>
            <w:vAlign w:val="center"/>
          </w:tcPr>
          <w:p w14:paraId="01A33794">
            <w:pPr>
              <w:jc w:val="center"/>
              <w:rPr>
                <w:rFonts w:hint="default" w:ascii="Arial" w:hAnsi="Arial" w:cs="Arial"/>
              </w:rPr>
            </w:pPr>
            <w:r>
              <w:rPr>
                <w:rFonts w:hint="default" w:ascii="Arial" w:hAnsi="Arial" w:eastAsia="Times New Roman" w:cs="Arial"/>
                <w:b/>
                <w:bCs/>
                <w:sz w:val="20"/>
                <w:szCs w:val="20"/>
              </w:rPr>
              <w:t>Random Forest</w:t>
            </w:r>
          </w:p>
        </w:tc>
        <w:tc>
          <w:tcPr>
            <w:tcW w:w="2340" w:type="dxa"/>
            <w:tcBorders>
              <w:top w:val="single" w:color="AAAAAA" w:sz="0" w:space="0"/>
              <w:left w:val="single" w:color="AAAAAA" w:sz="0" w:space="0"/>
              <w:bottom w:val="single" w:color="AAAAAA" w:sz="0" w:space="0"/>
              <w:right w:val="single" w:color="AAAAAA" w:sz="0" w:space="0"/>
            </w:tcBorders>
            <w:shd w:val="clear" w:color="auto" w:fill="F2F4F6"/>
            <w:tcMar>
              <w:top w:w="80" w:type="dxa"/>
              <w:left w:w="120" w:type="dxa"/>
              <w:bottom w:w="80" w:type="dxa"/>
              <w:right w:w="120" w:type="dxa"/>
            </w:tcMar>
            <w:vAlign w:val="center"/>
          </w:tcPr>
          <w:p w14:paraId="1DE1FC33">
            <w:pPr>
              <w:jc w:val="center"/>
              <w:rPr>
                <w:rFonts w:hint="default" w:ascii="Arial" w:hAnsi="Arial" w:cs="Arial"/>
              </w:rPr>
            </w:pPr>
            <w:r>
              <w:rPr>
                <w:rFonts w:hint="default" w:ascii="Arial" w:hAnsi="Arial" w:eastAsia="Times New Roman" w:cs="Arial"/>
                <w:sz w:val="20"/>
                <w:szCs w:val="20"/>
              </w:rPr>
              <w:t>52.08%</w:t>
            </w:r>
          </w:p>
        </w:tc>
        <w:tc>
          <w:tcPr>
            <w:tcW w:w="1560" w:type="dxa"/>
            <w:tcBorders>
              <w:top w:val="single" w:color="AAAAAA" w:sz="0" w:space="0"/>
              <w:left w:val="single" w:color="AAAAAA" w:sz="0" w:space="0"/>
              <w:bottom w:val="single" w:color="AAAAAA" w:sz="0" w:space="0"/>
              <w:right w:val="single" w:color="AAAAAA" w:sz="0" w:space="0"/>
            </w:tcBorders>
            <w:shd w:val="clear" w:color="auto" w:fill="F2F4F6"/>
            <w:tcMar>
              <w:top w:w="80" w:type="dxa"/>
              <w:left w:w="120" w:type="dxa"/>
              <w:bottom w:w="80" w:type="dxa"/>
              <w:right w:w="120" w:type="dxa"/>
            </w:tcMar>
            <w:vAlign w:val="center"/>
          </w:tcPr>
          <w:p w14:paraId="51F7A486">
            <w:pPr>
              <w:jc w:val="center"/>
              <w:rPr>
                <w:rFonts w:hint="default" w:ascii="Arial" w:hAnsi="Arial" w:cs="Arial"/>
              </w:rPr>
            </w:pPr>
            <w:r>
              <w:rPr>
                <w:rFonts w:hint="default" w:ascii="Arial" w:hAnsi="Arial" w:eastAsia="Times New Roman" w:cs="Arial"/>
                <w:sz w:val="20"/>
                <w:szCs w:val="20"/>
              </w:rPr>
              <w:t>4th</w:t>
            </w:r>
          </w:p>
        </w:tc>
        <w:tc>
          <w:tcPr>
            <w:tcW w:w="3120" w:type="dxa"/>
            <w:tcBorders>
              <w:top w:val="single" w:color="AAAAAA" w:sz="0" w:space="0"/>
              <w:left w:val="single" w:color="AAAAAA" w:sz="0" w:space="0"/>
              <w:bottom w:val="single" w:color="AAAAAA" w:sz="0" w:space="0"/>
              <w:right w:val="single" w:color="AAAAAA" w:sz="0" w:space="0"/>
            </w:tcBorders>
            <w:shd w:val="clear" w:color="auto" w:fill="F2F4F6"/>
            <w:tcMar>
              <w:top w:w="80" w:type="dxa"/>
              <w:left w:w="120" w:type="dxa"/>
              <w:bottom w:w="80" w:type="dxa"/>
              <w:right w:w="120" w:type="dxa"/>
            </w:tcMar>
            <w:vAlign w:val="center"/>
          </w:tcPr>
          <w:p w14:paraId="77BF2FA8">
            <w:pPr>
              <w:jc w:val="center"/>
              <w:rPr>
                <w:rFonts w:hint="default" w:ascii="Arial" w:hAnsi="Arial" w:cs="Arial"/>
              </w:rPr>
            </w:pPr>
            <w:r>
              <w:rPr>
                <w:rFonts w:hint="default" w:ascii="Arial" w:hAnsi="Arial" w:eastAsia="Times New Roman" w:cs="Arial"/>
                <w:sz w:val="20"/>
                <w:szCs w:val="20"/>
              </w:rPr>
              <w:t>50 trees, depth=20</w:t>
            </w:r>
          </w:p>
        </w:tc>
      </w:tr>
      <w:tr w14:paraId="3A758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7A74244">
            <w:pPr>
              <w:jc w:val="center"/>
              <w:rPr>
                <w:rFonts w:hint="default" w:ascii="Arial" w:hAnsi="Arial" w:cs="Arial"/>
              </w:rPr>
            </w:pPr>
            <w:r>
              <w:rPr>
                <w:rFonts w:hint="default" w:ascii="Arial" w:hAnsi="Arial" w:eastAsia="Times New Roman" w:cs="Arial"/>
                <w:b/>
                <w:bCs/>
                <w:sz w:val="20"/>
                <w:szCs w:val="20"/>
              </w:rPr>
              <w:t>KNN</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AB3D4DC">
            <w:pPr>
              <w:jc w:val="center"/>
              <w:rPr>
                <w:rFonts w:hint="default" w:ascii="Arial" w:hAnsi="Arial" w:cs="Arial"/>
              </w:rPr>
            </w:pPr>
            <w:r>
              <w:rPr>
                <w:rFonts w:hint="default" w:ascii="Arial" w:hAnsi="Arial" w:eastAsia="Times New Roman" w:cs="Arial"/>
                <w:sz w:val="20"/>
                <w:szCs w:val="20"/>
              </w:rPr>
              <w:t>49.86%</w:t>
            </w:r>
          </w:p>
        </w:tc>
        <w:tc>
          <w:tcPr>
            <w:tcW w:w="1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F9A8419">
            <w:pPr>
              <w:jc w:val="center"/>
              <w:rPr>
                <w:rFonts w:hint="default" w:ascii="Arial" w:hAnsi="Arial" w:cs="Arial"/>
              </w:rPr>
            </w:pPr>
            <w:r>
              <w:rPr>
                <w:rFonts w:hint="default" w:ascii="Arial" w:hAnsi="Arial" w:eastAsia="Times New Roman" w:cs="Arial"/>
                <w:sz w:val="20"/>
                <w:szCs w:val="20"/>
              </w:rPr>
              <w:t>5th</w:t>
            </w:r>
          </w:p>
        </w:tc>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C79100C">
            <w:pPr>
              <w:jc w:val="center"/>
              <w:rPr>
                <w:rFonts w:hint="default" w:ascii="Arial" w:hAnsi="Arial" w:cs="Arial"/>
              </w:rPr>
            </w:pPr>
            <w:r>
              <w:rPr>
                <w:rFonts w:hint="default" w:ascii="Arial" w:hAnsi="Arial" w:eastAsia="Times New Roman" w:cs="Arial"/>
                <w:sz w:val="20"/>
                <w:szCs w:val="20"/>
              </w:rPr>
              <w:t>k optimized via grid search</w:t>
            </w:r>
          </w:p>
        </w:tc>
      </w:tr>
    </w:tbl>
    <w:p w14:paraId="1FD0AE8D">
      <w:pPr>
        <w:spacing w:before="80" w:after="200"/>
        <w:jc w:val="center"/>
        <w:rPr>
          <w:rFonts w:hint="default" w:ascii="Arial" w:hAnsi="Arial" w:cs="Arial"/>
        </w:rPr>
      </w:pPr>
      <w:r>
        <w:rPr>
          <w:rFonts w:hint="default" w:ascii="Arial" w:hAnsi="Arial" w:eastAsia="Times New Roman" w:cs="Arial"/>
          <w:i/>
          <w:iCs/>
          <w:color w:val="555555"/>
          <w:sz w:val="20"/>
          <w:szCs w:val="20"/>
        </w:rPr>
        <w:t>Table 5.2: Classification performance on the PhysioNet dataset (19 subjects).</w:t>
      </w:r>
    </w:p>
    <w:p w14:paraId="1E799BB2">
      <w:pPr>
        <w:spacing w:before="60" w:after="60"/>
        <w:rPr>
          <w:rFonts w:hint="default" w:ascii="Arial" w:hAnsi="Arial" w:cs="Arial"/>
        </w:rPr>
      </w:pPr>
    </w:p>
    <w:p w14:paraId="64DF9CD5">
      <w:pPr>
        <w:pStyle w:val="4"/>
        <w:spacing w:before="240" w:after="120"/>
        <w:rPr>
          <w:rFonts w:hint="default" w:ascii="Arial" w:hAnsi="Arial" w:cs="Arial"/>
        </w:rPr>
      </w:pPr>
      <w:r>
        <w:rPr>
          <w:rFonts w:hint="default" w:ascii="Arial" w:hAnsi="Arial" w:eastAsia="Times New Roman" w:cs="Arial"/>
          <w:b/>
          <w:bCs/>
          <w:sz w:val="24"/>
          <w:szCs w:val="24"/>
        </w:rPr>
        <w:t>5.5.3 Performance Summary</w:t>
      </w:r>
    </w:p>
    <w:p w14:paraId="4F05513A">
      <w:pPr>
        <w:spacing w:before="60" w:after="60"/>
        <w:rPr>
          <w:rFonts w:hint="default" w:ascii="Arial" w:hAnsi="Arial" w:cs="Aria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27"/>
        <w:gridCol w:w="3545"/>
        <w:gridCol w:w="1844"/>
        <w:gridCol w:w="1844"/>
      </w:tblGrid>
      <w:tr w14:paraId="057C3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vAlign w:val="center"/>
          </w:tcPr>
          <w:p w14:paraId="4BC696BB">
            <w:pPr>
              <w:jc w:val="center"/>
              <w:rPr>
                <w:rFonts w:hint="default" w:ascii="Arial" w:hAnsi="Arial" w:cs="Arial"/>
              </w:rPr>
            </w:pPr>
            <w:r>
              <w:rPr>
                <w:rFonts w:hint="default" w:ascii="Arial" w:hAnsi="Arial" w:eastAsia="Times New Roman" w:cs="Arial"/>
                <w:b/>
                <w:bCs/>
                <w:color w:val="FFFFFF"/>
                <w:sz w:val="20"/>
                <w:szCs w:val="20"/>
              </w:rPr>
              <w:t>Model</w:t>
            </w:r>
          </w:p>
        </w:tc>
        <w:tc>
          <w:tcPr>
            <w:tcW w:w="300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vAlign w:val="center"/>
          </w:tcPr>
          <w:p w14:paraId="139AAB9D">
            <w:pPr>
              <w:jc w:val="center"/>
              <w:rPr>
                <w:rFonts w:hint="default" w:ascii="Arial" w:hAnsi="Arial" w:cs="Arial"/>
              </w:rPr>
            </w:pPr>
            <w:r>
              <w:rPr>
                <w:rFonts w:hint="default" w:ascii="Arial" w:hAnsi="Arial" w:eastAsia="Times New Roman" w:cs="Arial"/>
                <w:b/>
                <w:bCs/>
                <w:color w:val="FFFFFF"/>
                <w:sz w:val="20"/>
                <w:szCs w:val="20"/>
              </w:rPr>
              <w:t>Best Parameters</w:t>
            </w:r>
          </w:p>
        </w:tc>
        <w:tc>
          <w:tcPr>
            <w:tcW w:w="156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vAlign w:val="center"/>
          </w:tcPr>
          <w:p w14:paraId="1DC9D105">
            <w:pPr>
              <w:jc w:val="center"/>
              <w:rPr>
                <w:rFonts w:hint="default" w:ascii="Arial" w:hAnsi="Arial" w:cs="Arial"/>
              </w:rPr>
            </w:pPr>
            <w:r>
              <w:rPr>
                <w:rFonts w:hint="default" w:ascii="Arial" w:hAnsi="Arial" w:eastAsia="Times New Roman" w:cs="Arial"/>
                <w:b/>
                <w:bCs/>
                <w:color w:val="FFFFFF"/>
                <w:sz w:val="20"/>
                <w:szCs w:val="20"/>
              </w:rPr>
              <w:t>CV Accuracy</w:t>
            </w:r>
          </w:p>
        </w:tc>
        <w:tc>
          <w:tcPr>
            <w:tcW w:w="156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vAlign w:val="center"/>
          </w:tcPr>
          <w:p w14:paraId="16EE21A1">
            <w:pPr>
              <w:jc w:val="center"/>
              <w:rPr>
                <w:rFonts w:hint="default" w:ascii="Arial" w:hAnsi="Arial" w:cs="Arial"/>
              </w:rPr>
            </w:pPr>
            <w:r>
              <w:rPr>
                <w:rFonts w:hint="default" w:ascii="Arial" w:hAnsi="Arial" w:eastAsia="Times New Roman" w:cs="Arial"/>
                <w:b/>
                <w:bCs/>
                <w:color w:val="FFFFFF"/>
                <w:sz w:val="20"/>
                <w:szCs w:val="20"/>
              </w:rPr>
              <w:t>Test Accuracy</w:t>
            </w:r>
          </w:p>
        </w:tc>
      </w:tr>
      <w:tr w14:paraId="094D1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EC79564">
            <w:pPr>
              <w:jc w:val="center"/>
              <w:rPr>
                <w:rFonts w:hint="default" w:ascii="Arial" w:hAnsi="Arial" w:cs="Arial"/>
              </w:rPr>
            </w:pPr>
            <w:r>
              <w:rPr>
                <w:rFonts w:hint="default" w:ascii="Arial" w:hAnsi="Arial" w:eastAsia="Times New Roman" w:cs="Arial"/>
                <w:b/>
                <w:bCs/>
                <w:sz w:val="20"/>
                <w:szCs w:val="20"/>
              </w:rPr>
              <w:t>XGBoost</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F82AC6F">
            <w:pPr>
              <w:jc w:val="center"/>
              <w:rPr>
                <w:rFonts w:hint="default" w:ascii="Arial" w:hAnsi="Arial" w:cs="Arial"/>
              </w:rPr>
            </w:pPr>
            <w:r>
              <w:rPr>
                <w:rFonts w:hint="default" w:ascii="Arial" w:hAnsi="Arial" w:eastAsia="Times New Roman" w:cs="Arial"/>
                <w:sz w:val="20"/>
                <w:szCs w:val="20"/>
              </w:rPr>
              <w:t>n_estimators=200, max_depth=3, lr=0.01</w:t>
            </w:r>
          </w:p>
        </w:tc>
        <w:tc>
          <w:tcPr>
            <w:tcW w:w="1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E61A38B">
            <w:pPr>
              <w:jc w:val="center"/>
              <w:rPr>
                <w:rFonts w:hint="default" w:ascii="Arial" w:hAnsi="Arial" w:cs="Arial"/>
              </w:rPr>
            </w:pPr>
            <w:r>
              <w:rPr>
                <w:rFonts w:hint="default" w:ascii="Arial" w:hAnsi="Arial" w:eastAsia="Times New Roman" w:cs="Arial"/>
                <w:sz w:val="20"/>
                <w:szCs w:val="20"/>
              </w:rPr>
              <w:t>53.7%</w:t>
            </w:r>
          </w:p>
        </w:tc>
        <w:tc>
          <w:tcPr>
            <w:tcW w:w="1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5AFCCF4">
            <w:pPr>
              <w:jc w:val="center"/>
              <w:rPr>
                <w:rFonts w:hint="default" w:ascii="Arial" w:hAnsi="Arial" w:cs="Arial"/>
              </w:rPr>
            </w:pPr>
            <w:r>
              <w:rPr>
                <w:rFonts w:hint="default" w:ascii="Arial" w:hAnsi="Arial" w:eastAsia="Times New Roman" w:cs="Arial"/>
                <w:sz w:val="20"/>
                <w:szCs w:val="20"/>
              </w:rPr>
              <w:t>52.92%</w:t>
            </w:r>
          </w:p>
        </w:tc>
      </w:tr>
      <w:tr w14:paraId="0F5F3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2F4F6"/>
            <w:tcMar>
              <w:top w:w="80" w:type="dxa"/>
              <w:left w:w="120" w:type="dxa"/>
              <w:bottom w:w="80" w:type="dxa"/>
              <w:right w:w="120" w:type="dxa"/>
            </w:tcMar>
            <w:vAlign w:val="center"/>
          </w:tcPr>
          <w:p w14:paraId="05EF833C">
            <w:pPr>
              <w:jc w:val="center"/>
              <w:rPr>
                <w:rFonts w:hint="default" w:ascii="Arial" w:hAnsi="Arial" w:cs="Arial"/>
              </w:rPr>
            </w:pPr>
            <w:r>
              <w:rPr>
                <w:rFonts w:hint="default" w:ascii="Arial" w:hAnsi="Arial" w:eastAsia="Times New Roman" w:cs="Arial"/>
                <w:b/>
                <w:bCs/>
                <w:sz w:val="20"/>
                <w:szCs w:val="20"/>
              </w:rPr>
              <w:t>Random Forest</w:t>
            </w:r>
          </w:p>
        </w:tc>
        <w:tc>
          <w:tcPr>
            <w:tcW w:w="3000" w:type="dxa"/>
            <w:tcBorders>
              <w:top w:val="single" w:color="AAAAAA" w:sz="0" w:space="0"/>
              <w:left w:val="single" w:color="AAAAAA" w:sz="0" w:space="0"/>
              <w:bottom w:val="single" w:color="AAAAAA" w:sz="0" w:space="0"/>
              <w:right w:val="single" w:color="AAAAAA" w:sz="0" w:space="0"/>
            </w:tcBorders>
            <w:shd w:val="clear" w:color="auto" w:fill="F2F4F6"/>
            <w:tcMar>
              <w:top w:w="80" w:type="dxa"/>
              <w:left w:w="120" w:type="dxa"/>
              <w:bottom w:w="80" w:type="dxa"/>
              <w:right w:w="120" w:type="dxa"/>
            </w:tcMar>
            <w:vAlign w:val="center"/>
          </w:tcPr>
          <w:p w14:paraId="314EE497">
            <w:pPr>
              <w:jc w:val="center"/>
              <w:rPr>
                <w:rFonts w:hint="default" w:ascii="Arial" w:hAnsi="Arial" w:cs="Arial"/>
              </w:rPr>
            </w:pPr>
            <w:r>
              <w:rPr>
                <w:rFonts w:hint="default" w:ascii="Arial" w:hAnsi="Arial" w:eastAsia="Times New Roman" w:cs="Arial"/>
                <w:sz w:val="20"/>
                <w:szCs w:val="20"/>
              </w:rPr>
              <w:t>n_estimators=50, max_depth=20</w:t>
            </w:r>
          </w:p>
        </w:tc>
        <w:tc>
          <w:tcPr>
            <w:tcW w:w="1560" w:type="dxa"/>
            <w:tcBorders>
              <w:top w:val="single" w:color="AAAAAA" w:sz="0" w:space="0"/>
              <w:left w:val="single" w:color="AAAAAA" w:sz="0" w:space="0"/>
              <w:bottom w:val="single" w:color="AAAAAA" w:sz="0" w:space="0"/>
              <w:right w:val="single" w:color="AAAAAA" w:sz="0" w:space="0"/>
            </w:tcBorders>
            <w:shd w:val="clear" w:color="auto" w:fill="F2F4F6"/>
            <w:tcMar>
              <w:top w:w="80" w:type="dxa"/>
              <w:left w:w="120" w:type="dxa"/>
              <w:bottom w:w="80" w:type="dxa"/>
              <w:right w:w="120" w:type="dxa"/>
            </w:tcMar>
            <w:vAlign w:val="center"/>
          </w:tcPr>
          <w:p w14:paraId="33D03419">
            <w:pPr>
              <w:jc w:val="center"/>
              <w:rPr>
                <w:rFonts w:hint="default" w:ascii="Arial" w:hAnsi="Arial" w:cs="Arial"/>
              </w:rPr>
            </w:pPr>
            <w:r>
              <w:rPr>
                <w:rFonts w:hint="default" w:ascii="Arial" w:hAnsi="Arial" w:eastAsia="Times New Roman" w:cs="Arial"/>
                <w:sz w:val="20"/>
                <w:szCs w:val="20"/>
              </w:rPr>
              <w:t>52.2%</w:t>
            </w:r>
          </w:p>
        </w:tc>
        <w:tc>
          <w:tcPr>
            <w:tcW w:w="1560" w:type="dxa"/>
            <w:tcBorders>
              <w:top w:val="single" w:color="AAAAAA" w:sz="0" w:space="0"/>
              <w:left w:val="single" w:color="AAAAAA" w:sz="0" w:space="0"/>
              <w:bottom w:val="single" w:color="AAAAAA" w:sz="0" w:space="0"/>
              <w:right w:val="single" w:color="AAAAAA" w:sz="0" w:space="0"/>
            </w:tcBorders>
            <w:shd w:val="clear" w:color="auto" w:fill="F2F4F6"/>
            <w:tcMar>
              <w:top w:w="80" w:type="dxa"/>
              <w:left w:w="120" w:type="dxa"/>
              <w:bottom w:w="80" w:type="dxa"/>
              <w:right w:w="120" w:type="dxa"/>
            </w:tcMar>
            <w:vAlign w:val="center"/>
          </w:tcPr>
          <w:p w14:paraId="7869E19F">
            <w:pPr>
              <w:jc w:val="center"/>
              <w:rPr>
                <w:rFonts w:hint="default" w:ascii="Arial" w:hAnsi="Arial" w:cs="Arial"/>
              </w:rPr>
            </w:pPr>
            <w:r>
              <w:rPr>
                <w:rFonts w:hint="default" w:ascii="Arial" w:hAnsi="Arial" w:eastAsia="Times New Roman" w:cs="Arial"/>
                <w:sz w:val="20"/>
                <w:szCs w:val="20"/>
              </w:rPr>
              <w:t>52.08%</w:t>
            </w:r>
          </w:p>
        </w:tc>
      </w:tr>
      <w:tr w14:paraId="1BB9E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AE17705">
            <w:pPr>
              <w:jc w:val="center"/>
              <w:rPr>
                <w:rFonts w:hint="default" w:ascii="Arial" w:hAnsi="Arial" w:cs="Arial"/>
              </w:rPr>
            </w:pPr>
            <w:r>
              <w:rPr>
                <w:rFonts w:hint="default" w:ascii="Arial" w:hAnsi="Arial" w:eastAsia="Times New Roman" w:cs="Arial"/>
                <w:b/>
                <w:bCs/>
                <w:sz w:val="20"/>
                <w:szCs w:val="20"/>
              </w:rPr>
              <w:t>SVM (RBF)</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69249B0">
            <w:pPr>
              <w:jc w:val="center"/>
              <w:rPr>
                <w:rFonts w:hint="default" w:ascii="Arial" w:hAnsi="Arial" w:cs="Arial"/>
              </w:rPr>
            </w:pPr>
            <w:r>
              <w:rPr>
                <w:rFonts w:hint="default" w:ascii="Arial" w:hAnsi="Arial" w:eastAsia="Times New Roman" w:cs="Arial"/>
                <w:sz w:val="20"/>
                <w:szCs w:val="20"/>
              </w:rPr>
              <w:t>C=1, gamma=0.001, kernel='rbf'</w:t>
            </w:r>
          </w:p>
        </w:tc>
        <w:tc>
          <w:tcPr>
            <w:tcW w:w="1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6BE5604">
            <w:pPr>
              <w:jc w:val="center"/>
              <w:rPr>
                <w:rFonts w:hint="default" w:ascii="Arial" w:hAnsi="Arial" w:cs="Arial"/>
              </w:rPr>
            </w:pPr>
            <w:r>
              <w:rPr>
                <w:rFonts w:hint="default" w:ascii="Arial" w:hAnsi="Arial" w:eastAsia="Times New Roman" w:cs="Arial"/>
                <w:sz w:val="20"/>
                <w:szCs w:val="20"/>
              </w:rPr>
              <w:t>52.7%</w:t>
            </w:r>
          </w:p>
        </w:tc>
        <w:tc>
          <w:tcPr>
            <w:tcW w:w="1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09DDE10">
            <w:pPr>
              <w:jc w:val="center"/>
              <w:rPr>
                <w:rFonts w:hint="default" w:ascii="Arial" w:hAnsi="Arial" w:cs="Arial"/>
              </w:rPr>
            </w:pPr>
            <w:r>
              <w:rPr>
                <w:rFonts w:hint="default" w:ascii="Arial" w:hAnsi="Arial" w:eastAsia="Times New Roman" w:cs="Arial"/>
                <w:sz w:val="20"/>
                <w:szCs w:val="20"/>
              </w:rPr>
              <w:t>53.19%</w:t>
            </w:r>
          </w:p>
        </w:tc>
      </w:tr>
      <w:tr w14:paraId="4B155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2F4F6"/>
            <w:tcMar>
              <w:top w:w="80" w:type="dxa"/>
              <w:left w:w="120" w:type="dxa"/>
              <w:bottom w:w="80" w:type="dxa"/>
              <w:right w:w="120" w:type="dxa"/>
            </w:tcMar>
            <w:vAlign w:val="center"/>
          </w:tcPr>
          <w:p w14:paraId="3E3E23E3">
            <w:pPr>
              <w:jc w:val="center"/>
              <w:rPr>
                <w:rFonts w:hint="default" w:ascii="Arial" w:hAnsi="Arial" w:cs="Arial"/>
              </w:rPr>
            </w:pPr>
            <w:r>
              <w:rPr>
                <w:rFonts w:hint="default" w:ascii="Arial" w:hAnsi="Arial" w:eastAsia="Times New Roman" w:cs="Arial"/>
                <w:b/>
                <w:bCs/>
                <w:sz w:val="20"/>
                <w:szCs w:val="20"/>
              </w:rPr>
              <w:t>LDA</w:t>
            </w:r>
          </w:p>
        </w:tc>
        <w:tc>
          <w:tcPr>
            <w:tcW w:w="3000" w:type="dxa"/>
            <w:tcBorders>
              <w:top w:val="single" w:color="AAAAAA" w:sz="0" w:space="0"/>
              <w:left w:val="single" w:color="AAAAAA" w:sz="0" w:space="0"/>
              <w:bottom w:val="single" w:color="AAAAAA" w:sz="0" w:space="0"/>
              <w:right w:val="single" w:color="AAAAAA" w:sz="0" w:space="0"/>
            </w:tcBorders>
            <w:shd w:val="clear" w:color="auto" w:fill="F2F4F6"/>
            <w:tcMar>
              <w:top w:w="80" w:type="dxa"/>
              <w:left w:w="120" w:type="dxa"/>
              <w:bottom w:w="80" w:type="dxa"/>
              <w:right w:w="120" w:type="dxa"/>
            </w:tcMar>
            <w:vAlign w:val="center"/>
          </w:tcPr>
          <w:p w14:paraId="0B08D504">
            <w:pPr>
              <w:jc w:val="center"/>
              <w:rPr>
                <w:rFonts w:hint="default" w:ascii="Arial" w:hAnsi="Arial" w:cs="Arial"/>
              </w:rPr>
            </w:pPr>
            <w:r>
              <w:rPr>
                <w:rFonts w:hint="default" w:ascii="Arial" w:hAnsi="Arial" w:eastAsia="Times New Roman" w:cs="Arial"/>
                <w:sz w:val="20"/>
                <w:szCs w:val="20"/>
              </w:rPr>
              <w:t>Shrinkage regularization (Ledoit-Wolf)</w:t>
            </w:r>
          </w:p>
        </w:tc>
        <w:tc>
          <w:tcPr>
            <w:tcW w:w="1560" w:type="dxa"/>
            <w:tcBorders>
              <w:top w:val="single" w:color="AAAAAA" w:sz="0" w:space="0"/>
              <w:left w:val="single" w:color="AAAAAA" w:sz="0" w:space="0"/>
              <w:bottom w:val="single" w:color="AAAAAA" w:sz="0" w:space="0"/>
              <w:right w:val="single" w:color="AAAAAA" w:sz="0" w:space="0"/>
            </w:tcBorders>
            <w:shd w:val="clear" w:color="auto" w:fill="F2F4F6"/>
            <w:tcMar>
              <w:top w:w="80" w:type="dxa"/>
              <w:left w:w="120" w:type="dxa"/>
              <w:bottom w:w="80" w:type="dxa"/>
              <w:right w:w="120" w:type="dxa"/>
            </w:tcMar>
            <w:vAlign w:val="center"/>
          </w:tcPr>
          <w:p w14:paraId="08B939E6">
            <w:pPr>
              <w:jc w:val="center"/>
              <w:rPr>
                <w:rFonts w:hint="default" w:ascii="Arial" w:hAnsi="Arial" w:cs="Arial"/>
              </w:rPr>
            </w:pPr>
            <w:r>
              <w:rPr>
                <w:rFonts w:hint="default" w:ascii="Arial" w:hAnsi="Arial" w:eastAsia="Times New Roman" w:cs="Arial"/>
                <w:sz w:val="20"/>
                <w:szCs w:val="20"/>
              </w:rPr>
              <w:t>—</w:t>
            </w:r>
          </w:p>
        </w:tc>
        <w:tc>
          <w:tcPr>
            <w:tcW w:w="1560" w:type="dxa"/>
            <w:tcBorders>
              <w:top w:val="single" w:color="AAAAAA" w:sz="0" w:space="0"/>
              <w:left w:val="single" w:color="AAAAAA" w:sz="0" w:space="0"/>
              <w:bottom w:val="single" w:color="AAAAAA" w:sz="0" w:space="0"/>
              <w:right w:val="single" w:color="AAAAAA" w:sz="0" w:space="0"/>
            </w:tcBorders>
            <w:shd w:val="clear" w:color="auto" w:fill="F2F4F6"/>
            <w:tcMar>
              <w:top w:w="80" w:type="dxa"/>
              <w:left w:w="120" w:type="dxa"/>
              <w:bottom w:w="80" w:type="dxa"/>
              <w:right w:w="120" w:type="dxa"/>
            </w:tcMar>
            <w:vAlign w:val="center"/>
          </w:tcPr>
          <w:p w14:paraId="1FAB98B4">
            <w:pPr>
              <w:jc w:val="center"/>
              <w:rPr>
                <w:rFonts w:hint="default" w:ascii="Arial" w:hAnsi="Arial" w:cs="Arial"/>
              </w:rPr>
            </w:pPr>
            <w:r>
              <w:rPr>
                <w:rFonts w:hint="default" w:ascii="Arial" w:hAnsi="Arial" w:eastAsia="Times New Roman" w:cs="Arial"/>
                <w:sz w:val="20"/>
                <w:szCs w:val="20"/>
              </w:rPr>
              <w:t>54.03%</w:t>
            </w:r>
          </w:p>
        </w:tc>
      </w:tr>
      <w:tr w14:paraId="307F2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BD3E1AF">
            <w:pPr>
              <w:jc w:val="center"/>
              <w:rPr>
                <w:rFonts w:hint="default" w:ascii="Arial" w:hAnsi="Arial" w:cs="Arial"/>
              </w:rPr>
            </w:pPr>
            <w:r>
              <w:rPr>
                <w:rFonts w:hint="default" w:ascii="Arial" w:hAnsi="Arial" w:eastAsia="Times New Roman" w:cs="Arial"/>
                <w:b/>
                <w:bCs/>
                <w:sz w:val="20"/>
                <w:szCs w:val="20"/>
              </w:rPr>
              <w:t>KNN</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D261D38">
            <w:pPr>
              <w:jc w:val="center"/>
              <w:rPr>
                <w:rFonts w:hint="default" w:ascii="Arial" w:hAnsi="Arial" w:cs="Arial"/>
              </w:rPr>
            </w:pPr>
            <w:r>
              <w:rPr>
                <w:rFonts w:hint="default" w:ascii="Arial" w:hAnsi="Arial" w:eastAsia="Times New Roman" w:cs="Arial"/>
                <w:sz w:val="20"/>
                <w:szCs w:val="20"/>
              </w:rPr>
              <w:t>k optimized via grid search</w:t>
            </w:r>
          </w:p>
        </w:tc>
        <w:tc>
          <w:tcPr>
            <w:tcW w:w="1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4B1B4B9">
            <w:pPr>
              <w:jc w:val="center"/>
              <w:rPr>
                <w:rFonts w:hint="default" w:ascii="Arial" w:hAnsi="Arial" w:cs="Arial"/>
              </w:rPr>
            </w:pPr>
            <w:r>
              <w:rPr>
                <w:rFonts w:hint="default" w:ascii="Arial" w:hAnsi="Arial" w:eastAsia="Times New Roman" w:cs="Arial"/>
                <w:sz w:val="20"/>
                <w:szCs w:val="20"/>
              </w:rPr>
              <w:t>—</w:t>
            </w:r>
          </w:p>
        </w:tc>
        <w:tc>
          <w:tcPr>
            <w:tcW w:w="1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72D2DA3">
            <w:pPr>
              <w:jc w:val="center"/>
              <w:rPr>
                <w:rFonts w:hint="default" w:ascii="Arial" w:hAnsi="Arial" w:cs="Arial"/>
              </w:rPr>
            </w:pPr>
            <w:r>
              <w:rPr>
                <w:rFonts w:hint="default" w:ascii="Arial" w:hAnsi="Arial" w:eastAsia="Times New Roman" w:cs="Arial"/>
                <w:sz w:val="20"/>
                <w:szCs w:val="20"/>
              </w:rPr>
              <w:t>49.86%</w:t>
            </w:r>
          </w:p>
        </w:tc>
      </w:tr>
    </w:tbl>
    <w:p w14:paraId="1CADC82E">
      <w:pPr>
        <w:spacing w:before="80" w:after="200"/>
        <w:jc w:val="center"/>
        <w:rPr>
          <w:rFonts w:hint="default" w:ascii="Arial" w:hAnsi="Arial" w:cs="Arial"/>
        </w:rPr>
      </w:pPr>
      <w:r>
        <w:rPr>
          <w:rFonts w:hint="default" w:ascii="Arial" w:hAnsi="Arial" w:eastAsia="Times New Roman" w:cs="Arial"/>
          <w:i/>
          <w:iCs/>
          <w:color w:val="555555"/>
          <w:sz w:val="20"/>
          <w:szCs w:val="20"/>
        </w:rPr>
        <w:t>Table 5.3: Summary of model performance across cross-validation and test sets.</w:t>
      </w:r>
    </w:p>
    <w:p w14:paraId="0D3E99A6">
      <w:pPr>
        <w:spacing w:before="60" w:after="60"/>
        <w:rPr>
          <w:rFonts w:hint="default" w:ascii="Arial" w:hAnsi="Arial" w:cs="Arial"/>
        </w:rPr>
      </w:pPr>
    </w:p>
    <w:p w14:paraId="163DBD90">
      <w:pPr>
        <w:pStyle w:val="4"/>
        <w:spacing w:before="240" w:after="120"/>
        <w:rPr>
          <w:rFonts w:hint="default" w:ascii="Arial" w:hAnsi="Arial" w:cs="Arial"/>
        </w:rPr>
      </w:pPr>
      <w:r>
        <w:rPr>
          <w:rFonts w:hint="default" w:ascii="Arial" w:hAnsi="Arial" w:eastAsia="Times New Roman" w:cs="Arial"/>
          <w:b/>
          <w:bCs/>
          <w:sz w:val="24"/>
          <w:szCs w:val="24"/>
        </w:rPr>
        <w:t>5.5.4 Optimized CSP+SVM Performance</w:t>
      </w:r>
    </w:p>
    <w:p w14:paraId="446D03C0">
      <w:pPr>
        <w:spacing w:before="80" w:after="80" w:line="360" w:lineRule="auto"/>
        <w:ind w:firstLine="720"/>
        <w:jc w:val="both"/>
        <w:rPr>
          <w:rFonts w:hint="default" w:ascii="Arial" w:hAnsi="Arial" w:cs="Arial"/>
        </w:rPr>
      </w:pPr>
      <w:r>
        <w:rPr>
          <w:rFonts w:hint="default" w:ascii="Arial" w:hAnsi="Arial" w:eastAsia="Times New Roman" w:cs="Arial"/>
          <w:sz w:val="24"/>
          <w:szCs w:val="24"/>
        </w:rPr>
        <w:t>The CSP+SVM pipeline with a broad frequency band (1–40 Hz) achieved a baseline accuracy of 74.5%. Following optimization, the 13–30 Hz frequency band raised accuracy to 85.5%, and the use of 6 CSP components further improved performance to 89.1% overall. Class-specific performance at this optimized configuration was as follows: Class 0 (Left Hand) achieved 91.9% accuracy with precision, recall, and F1-score all equal to 0.92; Class 1 (Right Hand) achieved 83.3% accuracy with precision, recall, and F1-score all equal to 0.83.</w:t>
      </w:r>
    </w:p>
    <w:p w14:paraId="3A2CC556">
      <w:pPr>
        <w:rPr>
          <w:rFonts w:hint="default" w:ascii="Arial" w:hAnsi="Arial" w:cs="Arial"/>
        </w:rPr>
      </w:pPr>
      <w:r>
        <w:rPr>
          <w:rFonts w:hint="default" w:ascii="Arial" w:hAnsi="Arial" w:cs="Arial"/>
        </w:rPr>
        <w:br w:type="page"/>
      </w:r>
    </w:p>
    <w:p w14:paraId="4AC7D260">
      <w:pPr>
        <w:pStyle w:val="3"/>
        <w:spacing w:before="300" w:after="160"/>
        <w:rPr>
          <w:rFonts w:hint="default" w:ascii="Arial" w:hAnsi="Arial" w:cs="Arial"/>
        </w:rPr>
      </w:pPr>
      <w:r>
        <w:rPr>
          <w:rFonts w:hint="default" w:ascii="Arial" w:hAnsi="Arial" w:eastAsia="Times New Roman" w:cs="Arial"/>
          <w:b/>
          <w:bCs/>
          <w:sz w:val="28"/>
          <w:szCs w:val="28"/>
        </w:rPr>
        <w:t>5.6 Subject-Dependent Classification</w:t>
      </w:r>
    </w:p>
    <w:p w14:paraId="326AA1AC">
      <w:pPr>
        <w:pStyle w:val="4"/>
        <w:spacing w:before="240" w:after="120"/>
        <w:rPr>
          <w:rFonts w:hint="default" w:ascii="Arial" w:hAnsi="Arial" w:cs="Arial"/>
        </w:rPr>
      </w:pPr>
      <w:r>
        <w:rPr>
          <w:rFonts w:hint="default" w:ascii="Arial" w:hAnsi="Arial" w:eastAsia="Times New Roman" w:cs="Arial"/>
          <w:b/>
          <w:bCs/>
          <w:sz w:val="24"/>
          <w:szCs w:val="24"/>
        </w:rPr>
        <w:t>5.6.1 Feature Extraction Strategies</w:t>
      </w:r>
    </w:p>
    <w:p w14:paraId="588641AA">
      <w:pPr>
        <w:spacing w:before="80" w:after="80" w:line="360" w:lineRule="auto"/>
        <w:ind w:firstLine="720"/>
        <w:jc w:val="both"/>
        <w:rPr>
          <w:rFonts w:hint="default" w:ascii="Arial" w:hAnsi="Arial" w:cs="Arial"/>
        </w:rPr>
      </w:pPr>
      <w:r>
        <w:rPr>
          <w:rFonts w:hint="default" w:ascii="Arial" w:hAnsi="Arial" w:eastAsia="Times New Roman" w:cs="Arial"/>
          <w:sz w:val="24"/>
          <w:szCs w:val="24"/>
        </w:rPr>
        <w:t>Three complementary feature extraction and classification strategies were implemented for subject-dependent analysis:</w:t>
      </w:r>
    </w:p>
    <w:p w14:paraId="13C63FB8">
      <w:pPr>
        <w:pStyle w:val="16"/>
        <w:numPr>
          <w:ilvl w:val="0"/>
          <w:numId w:val="1"/>
        </w:numPr>
        <w:spacing w:before="60" w:after="60" w:line="320" w:lineRule="auto"/>
        <w:rPr>
          <w:rFonts w:hint="default" w:ascii="Arial" w:hAnsi="Arial" w:cs="Arial"/>
        </w:rPr>
      </w:pPr>
      <w:r>
        <w:rPr>
          <w:rFonts w:hint="default" w:ascii="Arial" w:hAnsi="Arial" w:eastAsia="Times New Roman" w:cs="Arial"/>
          <w:sz w:val="24"/>
          <w:szCs w:val="24"/>
        </w:rPr>
        <w:t>Spatial Strategy: CSP features combined with LDA classification. This approach leverages the spatial discriminability inherent in sensorimotor cortex activation patterns during motor imagery.</w:t>
      </w:r>
    </w:p>
    <w:p w14:paraId="59ECAFE8">
      <w:pPr>
        <w:pStyle w:val="16"/>
        <w:numPr>
          <w:ilvl w:val="0"/>
          <w:numId w:val="1"/>
        </w:numPr>
        <w:spacing w:before="60" w:after="60" w:line="320" w:lineRule="auto"/>
        <w:rPr>
          <w:rFonts w:hint="default" w:ascii="Arial" w:hAnsi="Arial" w:cs="Arial"/>
        </w:rPr>
      </w:pPr>
      <w:r>
        <w:rPr>
          <w:rFonts w:hint="default" w:ascii="Arial" w:hAnsi="Arial" w:eastAsia="Times New Roman" w:cs="Arial"/>
          <w:sz w:val="24"/>
          <w:szCs w:val="24"/>
        </w:rPr>
        <w:t>Time-Frequency Strategy: PSD features computed via Welch’s method combined with a C-Support Vector Classifier (SVC). Focus was placed on the motor imagery-relevant 8–30 Hz range covering mu and beta rhythms.</w:t>
      </w:r>
    </w:p>
    <w:p w14:paraId="3DF5112B">
      <w:pPr>
        <w:pStyle w:val="16"/>
        <w:numPr>
          <w:ilvl w:val="0"/>
          <w:numId w:val="1"/>
        </w:numPr>
        <w:spacing w:before="60" w:after="60" w:line="320" w:lineRule="auto"/>
        <w:rPr>
          <w:rFonts w:hint="default" w:ascii="Arial" w:hAnsi="Arial" w:cs="Arial"/>
        </w:rPr>
      </w:pPr>
      <w:r>
        <w:rPr>
          <w:rFonts w:hint="default" w:ascii="Arial" w:hAnsi="Arial" w:eastAsia="Times New Roman" w:cs="Arial"/>
          <w:sz w:val="24"/>
          <w:szCs w:val="24"/>
        </w:rPr>
        <w:t>Ensemble Strategy: A voting classifier combining predictions from multiple temporal windows (0.5–3.5 seconds post-stimulus). This architecture aggregates decisions to create generalized decision boundaries that are robust to temporal variability in neural responses.</w:t>
      </w:r>
    </w:p>
    <w:p w14:paraId="7F7D2E10">
      <w:pPr>
        <w:pStyle w:val="4"/>
        <w:spacing w:before="240" w:after="120"/>
        <w:rPr>
          <w:rFonts w:hint="default" w:ascii="Arial" w:hAnsi="Arial" w:cs="Arial"/>
        </w:rPr>
      </w:pPr>
      <w:r>
        <w:rPr>
          <w:rFonts w:hint="default" w:ascii="Arial" w:hAnsi="Arial" w:eastAsia="Times New Roman" w:cs="Arial"/>
          <w:b/>
          <w:bCs/>
          <w:sz w:val="24"/>
          <w:szCs w:val="24"/>
        </w:rPr>
        <w:t>5.6.2 Validation Methodology</w:t>
      </w:r>
    </w:p>
    <w:p w14:paraId="7A913EAC">
      <w:pPr>
        <w:spacing w:before="80" w:after="80" w:line="360" w:lineRule="auto"/>
        <w:ind w:firstLine="720"/>
        <w:jc w:val="both"/>
        <w:rPr>
          <w:rFonts w:hint="default" w:ascii="Arial" w:hAnsi="Arial" w:cs="Arial"/>
        </w:rPr>
      </w:pPr>
      <w:r>
        <w:rPr>
          <w:rFonts w:hint="default" w:ascii="Arial" w:hAnsi="Arial" w:eastAsia="Times New Roman" w:cs="Arial"/>
          <w:sz w:val="24"/>
          <w:szCs w:val="24"/>
        </w:rPr>
        <w:t>Leave-One-Out Cross-Validation (LOO-CV) was employed for subject-dependent analysis, wherein each trial served as the test set exactly once while the remaining trials formed the training set. This approach maximizes training data utilization, which is critical given the limited trial counts typical in EEG studies, and eliminates random splitting variability. LOO-CV is particularly suited to subject-dependent paradigms with moderate trial counts (approximately 362 trials per subject).</w:t>
      </w:r>
    </w:p>
    <w:p w14:paraId="3BA6855F">
      <w:pPr>
        <w:pStyle w:val="4"/>
        <w:spacing w:before="240" w:after="120"/>
        <w:rPr>
          <w:rFonts w:hint="default" w:ascii="Arial" w:hAnsi="Arial" w:cs="Arial"/>
        </w:rPr>
      </w:pPr>
      <w:r>
        <w:rPr>
          <w:rFonts w:hint="default" w:ascii="Arial" w:hAnsi="Arial" w:eastAsia="Times New Roman" w:cs="Arial"/>
          <w:b/>
          <w:bCs/>
          <w:sz w:val="24"/>
          <w:szCs w:val="24"/>
        </w:rPr>
        <w:t>5.6.3 Subject-Dependent Performance Results</w:t>
      </w:r>
    </w:p>
    <w:p w14:paraId="4D713B49">
      <w:pPr>
        <w:spacing w:before="80" w:after="80" w:line="360" w:lineRule="auto"/>
        <w:ind w:firstLine="720"/>
        <w:jc w:val="both"/>
        <w:rPr>
          <w:rFonts w:hint="default" w:ascii="Arial" w:hAnsi="Arial" w:cs="Arial"/>
        </w:rPr>
      </w:pPr>
      <w:r>
        <w:rPr>
          <w:rFonts w:hint="default" w:ascii="Arial" w:hAnsi="Arial" w:eastAsia="Times New Roman" w:cs="Arial"/>
          <w:sz w:val="24"/>
          <w:szCs w:val="24"/>
        </w:rPr>
        <w:t>The ensemble strategy achieved a mean accuracy of 0.938 ± 0.073 (93.8% with a standard deviation of 7.3%). Nine out of 19 subjects achieved 100% classification accuracy, and accuracy ranged from 78.6% to 100% across all subjects. The median accuracy was 97.3%, indicating a right-skewed distribution towards high performance.</w:t>
      </w:r>
    </w:p>
    <w:p w14:paraId="78D9092E">
      <w:pPr>
        <w:spacing w:before="60" w:after="60"/>
        <w:rPr>
          <w:rFonts w:hint="default" w:ascii="Arial" w:hAnsi="Arial" w:cs="Aria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1560"/>
        <w:gridCol w:w="2340"/>
        <w:gridCol w:w="3120"/>
      </w:tblGrid>
      <w:tr w14:paraId="1982F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vAlign w:val="center"/>
          </w:tcPr>
          <w:p w14:paraId="3DF0D7E3">
            <w:pPr>
              <w:jc w:val="center"/>
              <w:rPr>
                <w:rFonts w:hint="default" w:ascii="Arial" w:hAnsi="Arial" w:cs="Arial"/>
              </w:rPr>
            </w:pPr>
            <w:r>
              <w:rPr>
                <w:rFonts w:hint="default" w:ascii="Arial" w:hAnsi="Arial" w:eastAsia="Times New Roman" w:cs="Arial"/>
                <w:b/>
                <w:bCs/>
                <w:color w:val="FFFFFF"/>
                <w:sz w:val="20"/>
                <w:szCs w:val="20"/>
              </w:rPr>
              <w:t>Performance Tier</w:t>
            </w:r>
          </w:p>
        </w:tc>
        <w:tc>
          <w:tcPr>
            <w:tcW w:w="156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vAlign w:val="center"/>
          </w:tcPr>
          <w:p w14:paraId="26946FCE">
            <w:pPr>
              <w:jc w:val="center"/>
              <w:rPr>
                <w:rFonts w:hint="default" w:ascii="Arial" w:hAnsi="Arial" w:cs="Arial"/>
              </w:rPr>
            </w:pPr>
            <w:r>
              <w:rPr>
                <w:rFonts w:hint="default" w:ascii="Arial" w:hAnsi="Arial" w:eastAsia="Times New Roman" w:cs="Arial"/>
                <w:b/>
                <w:bCs/>
                <w:color w:val="FFFFFF"/>
                <w:sz w:val="20"/>
                <w:szCs w:val="20"/>
              </w:rPr>
              <w:t>Subject Count</w:t>
            </w:r>
          </w:p>
        </w:tc>
        <w:tc>
          <w:tcPr>
            <w:tcW w:w="234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vAlign w:val="center"/>
          </w:tcPr>
          <w:p w14:paraId="08090CAD">
            <w:pPr>
              <w:jc w:val="center"/>
              <w:rPr>
                <w:rFonts w:hint="default" w:ascii="Arial" w:hAnsi="Arial" w:cs="Arial"/>
              </w:rPr>
            </w:pPr>
            <w:r>
              <w:rPr>
                <w:rFonts w:hint="default" w:ascii="Arial" w:hAnsi="Arial" w:eastAsia="Times New Roman" w:cs="Arial"/>
                <w:b/>
                <w:bCs/>
                <w:color w:val="FFFFFF"/>
                <w:sz w:val="20"/>
                <w:szCs w:val="20"/>
              </w:rPr>
              <w:t>Accuracy Range</w:t>
            </w:r>
          </w:p>
        </w:tc>
        <w:tc>
          <w:tcPr>
            <w:tcW w:w="312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vAlign w:val="center"/>
          </w:tcPr>
          <w:p w14:paraId="694C5C2C">
            <w:pPr>
              <w:jc w:val="center"/>
              <w:rPr>
                <w:rFonts w:hint="default" w:ascii="Arial" w:hAnsi="Arial" w:cs="Arial"/>
              </w:rPr>
            </w:pPr>
            <w:r>
              <w:rPr>
                <w:rFonts w:hint="default" w:ascii="Arial" w:hAnsi="Arial" w:eastAsia="Times New Roman" w:cs="Arial"/>
                <w:b/>
                <w:bCs/>
                <w:color w:val="FFFFFF"/>
                <w:sz w:val="20"/>
                <w:szCs w:val="20"/>
              </w:rPr>
              <w:t>Characteristics</w:t>
            </w:r>
          </w:p>
        </w:tc>
      </w:tr>
      <w:tr w14:paraId="3DED8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1249139">
            <w:pPr>
              <w:jc w:val="center"/>
              <w:rPr>
                <w:rFonts w:hint="default" w:ascii="Arial" w:hAnsi="Arial" w:cs="Arial"/>
              </w:rPr>
            </w:pPr>
            <w:r>
              <w:rPr>
                <w:rFonts w:hint="default" w:ascii="Arial" w:hAnsi="Arial" w:eastAsia="Times New Roman" w:cs="Arial"/>
                <w:b/>
                <w:bCs/>
                <w:sz w:val="20"/>
                <w:szCs w:val="20"/>
              </w:rPr>
              <w:t>Elite Performers</w:t>
            </w:r>
          </w:p>
        </w:tc>
        <w:tc>
          <w:tcPr>
            <w:tcW w:w="1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F8E9B0A">
            <w:pPr>
              <w:jc w:val="center"/>
              <w:rPr>
                <w:rFonts w:hint="default" w:ascii="Arial" w:hAnsi="Arial" w:cs="Arial"/>
              </w:rPr>
            </w:pPr>
            <w:r>
              <w:rPr>
                <w:rFonts w:hint="default" w:ascii="Arial" w:hAnsi="Arial" w:eastAsia="Times New Roman" w:cs="Arial"/>
                <w:sz w:val="20"/>
                <w:szCs w:val="20"/>
              </w:rPr>
              <w:t>9</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0302BE2">
            <w:pPr>
              <w:jc w:val="center"/>
              <w:rPr>
                <w:rFonts w:hint="default" w:ascii="Arial" w:hAnsi="Arial" w:cs="Arial"/>
              </w:rPr>
            </w:pPr>
            <w:r>
              <w:rPr>
                <w:rFonts w:hint="default" w:ascii="Arial" w:hAnsi="Arial" w:eastAsia="Times New Roman" w:cs="Arial"/>
                <w:sz w:val="20"/>
                <w:szCs w:val="20"/>
              </w:rPr>
              <w:t>100%</w:t>
            </w:r>
          </w:p>
        </w:tc>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BF8DBA6">
            <w:pPr>
              <w:jc w:val="center"/>
              <w:rPr>
                <w:rFonts w:hint="default" w:ascii="Arial" w:hAnsi="Arial" w:cs="Arial"/>
              </w:rPr>
            </w:pPr>
            <w:r>
              <w:rPr>
                <w:rFonts w:hint="default" w:ascii="Arial" w:hAnsi="Arial" w:eastAsia="Times New Roman" w:cs="Arial"/>
                <w:sz w:val="20"/>
                <w:szCs w:val="20"/>
              </w:rPr>
              <w:t>Strong, consistent sensorimotor modulation</w:t>
            </w:r>
          </w:p>
        </w:tc>
      </w:tr>
      <w:tr w14:paraId="4F046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shd w:val="clear" w:color="auto" w:fill="F2F4F6"/>
            <w:tcMar>
              <w:top w:w="80" w:type="dxa"/>
              <w:left w:w="120" w:type="dxa"/>
              <w:bottom w:w="80" w:type="dxa"/>
              <w:right w:w="120" w:type="dxa"/>
            </w:tcMar>
            <w:vAlign w:val="center"/>
          </w:tcPr>
          <w:p w14:paraId="3C1FC2F6">
            <w:pPr>
              <w:jc w:val="center"/>
              <w:rPr>
                <w:rFonts w:hint="default" w:ascii="Arial" w:hAnsi="Arial" w:cs="Arial"/>
              </w:rPr>
            </w:pPr>
            <w:r>
              <w:rPr>
                <w:rFonts w:hint="default" w:ascii="Arial" w:hAnsi="Arial" w:eastAsia="Times New Roman" w:cs="Arial"/>
                <w:b/>
                <w:bCs/>
                <w:sz w:val="20"/>
                <w:szCs w:val="20"/>
              </w:rPr>
              <w:t>High Performers</w:t>
            </w:r>
          </w:p>
        </w:tc>
        <w:tc>
          <w:tcPr>
            <w:tcW w:w="1560" w:type="dxa"/>
            <w:tcBorders>
              <w:top w:val="single" w:color="AAAAAA" w:sz="0" w:space="0"/>
              <w:left w:val="single" w:color="AAAAAA" w:sz="0" w:space="0"/>
              <w:bottom w:val="single" w:color="AAAAAA" w:sz="0" w:space="0"/>
              <w:right w:val="single" w:color="AAAAAA" w:sz="0" w:space="0"/>
            </w:tcBorders>
            <w:shd w:val="clear" w:color="auto" w:fill="F2F4F6"/>
            <w:tcMar>
              <w:top w:w="80" w:type="dxa"/>
              <w:left w:w="120" w:type="dxa"/>
              <w:bottom w:w="80" w:type="dxa"/>
              <w:right w:w="120" w:type="dxa"/>
            </w:tcMar>
            <w:vAlign w:val="center"/>
          </w:tcPr>
          <w:p w14:paraId="7FAD0563">
            <w:pPr>
              <w:jc w:val="center"/>
              <w:rPr>
                <w:rFonts w:hint="default" w:ascii="Arial" w:hAnsi="Arial" w:cs="Arial"/>
              </w:rPr>
            </w:pPr>
            <w:r>
              <w:rPr>
                <w:rFonts w:hint="default" w:ascii="Arial" w:hAnsi="Arial" w:eastAsia="Times New Roman" w:cs="Arial"/>
                <w:sz w:val="20"/>
                <w:szCs w:val="20"/>
              </w:rPr>
              <w:t>6</w:t>
            </w:r>
          </w:p>
        </w:tc>
        <w:tc>
          <w:tcPr>
            <w:tcW w:w="2340" w:type="dxa"/>
            <w:tcBorders>
              <w:top w:val="single" w:color="AAAAAA" w:sz="0" w:space="0"/>
              <w:left w:val="single" w:color="AAAAAA" w:sz="0" w:space="0"/>
              <w:bottom w:val="single" w:color="AAAAAA" w:sz="0" w:space="0"/>
              <w:right w:val="single" w:color="AAAAAA" w:sz="0" w:space="0"/>
            </w:tcBorders>
            <w:shd w:val="clear" w:color="auto" w:fill="F2F4F6"/>
            <w:tcMar>
              <w:top w:w="80" w:type="dxa"/>
              <w:left w:w="120" w:type="dxa"/>
              <w:bottom w:w="80" w:type="dxa"/>
              <w:right w:w="120" w:type="dxa"/>
            </w:tcMar>
            <w:vAlign w:val="center"/>
          </w:tcPr>
          <w:p w14:paraId="6F4BA4C4">
            <w:pPr>
              <w:jc w:val="center"/>
              <w:rPr>
                <w:rFonts w:hint="default" w:ascii="Arial" w:hAnsi="Arial" w:cs="Arial"/>
              </w:rPr>
            </w:pPr>
            <w:r>
              <w:rPr>
                <w:rFonts w:hint="default" w:ascii="Arial" w:hAnsi="Arial" w:eastAsia="Times New Roman" w:cs="Arial"/>
                <w:sz w:val="20"/>
                <w:szCs w:val="20"/>
              </w:rPr>
              <w:t>90–99.9%</w:t>
            </w:r>
          </w:p>
        </w:tc>
        <w:tc>
          <w:tcPr>
            <w:tcW w:w="3120" w:type="dxa"/>
            <w:tcBorders>
              <w:top w:val="single" w:color="AAAAAA" w:sz="0" w:space="0"/>
              <w:left w:val="single" w:color="AAAAAA" w:sz="0" w:space="0"/>
              <w:bottom w:val="single" w:color="AAAAAA" w:sz="0" w:space="0"/>
              <w:right w:val="single" w:color="AAAAAA" w:sz="0" w:space="0"/>
            </w:tcBorders>
            <w:shd w:val="clear" w:color="auto" w:fill="F2F4F6"/>
            <w:tcMar>
              <w:top w:w="80" w:type="dxa"/>
              <w:left w:w="120" w:type="dxa"/>
              <w:bottom w:w="80" w:type="dxa"/>
              <w:right w:w="120" w:type="dxa"/>
            </w:tcMar>
            <w:vAlign w:val="center"/>
          </w:tcPr>
          <w:p w14:paraId="019C3BE1">
            <w:pPr>
              <w:jc w:val="center"/>
              <w:rPr>
                <w:rFonts w:hint="default" w:ascii="Arial" w:hAnsi="Arial" w:cs="Arial"/>
              </w:rPr>
            </w:pPr>
            <w:r>
              <w:rPr>
                <w:rFonts w:hint="default" w:ascii="Arial" w:hAnsi="Arial" w:eastAsia="Times New Roman" w:cs="Arial"/>
                <w:sz w:val="20"/>
                <w:szCs w:val="20"/>
              </w:rPr>
              <w:t>Reliable discrimination with minor variability</w:t>
            </w:r>
          </w:p>
        </w:tc>
      </w:tr>
      <w:tr w14:paraId="17EFE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3F0FC9B">
            <w:pPr>
              <w:jc w:val="center"/>
              <w:rPr>
                <w:rFonts w:hint="default" w:ascii="Arial" w:hAnsi="Arial" w:cs="Arial"/>
              </w:rPr>
            </w:pPr>
            <w:r>
              <w:rPr>
                <w:rFonts w:hint="default" w:ascii="Arial" w:hAnsi="Arial" w:eastAsia="Times New Roman" w:cs="Arial"/>
                <w:b/>
                <w:bCs/>
                <w:sz w:val="20"/>
                <w:szCs w:val="20"/>
              </w:rPr>
              <w:t>Moderate Performers</w:t>
            </w:r>
          </w:p>
        </w:tc>
        <w:tc>
          <w:tcPr>
            <w:tcW w:w="1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E0826E4">
            <w:pPr>
              <w:jc w:val="center"/>
              <w:rPr>
                <w:rFonts w:hint="default" w:ascii="Arial" w:hAnsi="Arial" w:cs="Arial"/>
              </w:rPr>
            </w:pPr>
            <w:r>
              <w:rPr>
                <w:rFonts w:hint="default" w:ascii="Arial" w:hAnsi="Arial" w:eastAsia="Times New Roman" w:cs="Arial"/>
                <w:sz w:val="20"/>
                <w:szCs w:val="20"/>
              </w:rPr>
              <w:t>3</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A1EC94E">
            <w:pPr>
              <w:jc w:val="center"/>
              <w:rPr>
                <w:rFonts w:hint="default" w:ascii="Arial" w:hAnsi="Arial" w:cs="Arial"/>
              </w:rPr>
            </w:pPr>
            <w:r>
              <w:rPr>
                <w:rFonts w:hint="default" w:ascii="Arial" w:hAnsi="Arial" w:eastAsia="Times New Roman" w:cs="Arial"/>
                <w:sz w:val="20"/>
                <w:szCs w:val="20"/>
              </w:rPr>
              <w:t>85–89.9%</w:t>
            </w:r>
          </w:p>
        </w:tc>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3E243B8">
            <w:pPr>
              <w:jc w:val="center"/>
              <w:rPr>
                <w:rFonts w:hint="default" w:ascii="Arial" w:hAnsi="Arial" w:cs="Arial"/>
              </w:rPr>
            </w:pPr>
            <w:r>
              <w:rPr>
                <w:rFonts w:hint="default" w:ascii="Arial" w:hAnsi="Arial" w:eastAsia="Times New Roman" w:cs="Arial"/>
                <w:sz w:val="20"/>
                <w:szCs w:val="20"/>
              </w:rPr>
              <w:t>Discernible but noisier patterns</w:t>
            </w:r>
          </w:p>
        </w:tc>
      </w:tr>
      <w:tr w14:paraId="4EF37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shd w:val="clear" w:color="auto" w:fill="F2F4F6"/>
            <w:tcMar>
              <w:top w:w="80" w:type="dxa"/>
              <w:left w:w="120" w:type="dxa"/>
              <w:bottom w:w="80" w:type="dxa"/>
              <w:right w:w="120" w:type="dxa"/>
            </w:tcMar>
            <w:vAlign w:val="center"/>
          </w:tcPr>
          <w:p w14:paraId="58543631">
            <w:pPr>
              <w:jc w:val="center"/>
              <w:rPr>
                <w:rFonts w:hint="default" w:ascii="Arial" w:hAnsi="Arial" w:cs="Arial"/>
              </w:rPr>
            </w:pPr>
            <w:r>
              <w:rPr>
                <w:rFonts w:hint="default" w:ascii="Arial" w:hAnsi="Arial" w:eastAsia="Times New Roman" w:cs="Arial"/>
                <w:b/>
                <w:bCs/>
                <w:sz w:val="20"/>
                <w:szCs w:val="20"/>
              </w:rPr>
              <w:t>Challenging Cases</w:t>
            </w:r>
          </w:p>
        </w:tc>
        <w:tc>
          <w:tcPr>
            <w:tcW w:w="1560" w:type="dxa"/>
            <w:tcBorders>
              <w:top w:val="single" w:color="AAAAAA" w:sz="0" w:space="0"/>
              <w:left w:val="single" w:color="AAAAAA" w:sz="0" w:space="0"/>
              <w:bottom w:val="single" w:color="AAAAAA" w:sz="0" w:space="0"/>
              <w:right w:val="single" w:color="AAAAAA" w:sz="0" w:space="0"/>
            </w:tcBorders>
            <w:shd w:val="clear" w:color="auto" w:fill="F2F4F6"/>
            <w:tcMar>
              <w:top w:w="80" w:type="dxa"/>
              <w:left w:w="120" w:type="dxa"/>
              <w:bottom w:w="80" w:type="dxa"/>
              <w:right w:w="120" w:type="dxa"/>
            </w:tcMar>
            <w:vAlign w:val="center"/>
          </w:tcPr>
          <w:p w14:paraId="741D9184">
            <w:pPr>
              <w:jc w:val="center"/>
              <w:rPr>
                <w:rFonts w:hint="default" w:ascii="Arial" w:hAnsi="Arial" w:cs="Arial"/>
              </w:rPr>
            </w:pPr>
            <w:r>
              <w:rPr>
                <w:rFonts w:hint="default" w:ascii="Arial" w:hAnsi="Arial" w:eastAsia="Times New Roman" w:cs="Arial"/>
                <w:sz w:val="20"/>
                <w:szCs w:val="20"/>
              </w:rPr>
              <w:t>1</w:t>
            </w:r>
          </w:p>
        </w:tc>
        <w:tc>
          <w:tcPr>
            <w:tcW w:w="2340" w:type="dxa"/>
            <w:tcBorders>
              <w:top w:val="single" w:color="AAAAAA" w:sz="0" w:space="0"/>
              <w:left w:val="single" w:color="AAAAAA" w:sz="0" w:space="0"/>
              <w:bottom w:val="single" w:color="AAAAAA" w:sz="0" w:space="0"/>
              <w:right w:val="single" w:color="AAAAAA" w:sz="0" w:space="0"/>
            </w:tcBorders>
            <w:shd w:val="clear" w:color="auto" w:fill="F2F4F6"/>
            <w:tcMar>
              <w:top w:w="80" w:type="dxa"/>
              <w:left w:w="120" w:type="dxa"/>
              <w:bottom w:w="80" w:type="dxa"/>
              <w:right w:w="120" w:type="dxa"/>
            </w:tcMar>
            <w:vAlign w:val="center"/>
          </w:tcPr>
          <w:p w14:paraId="17F66A3B">
            <w:pPr>
              <w:jc w:val="center"/>
              <w:rPr>
                <w:rFonts w:hint="default" w:ascii="Arial" w:hAnsi="Arial" w:cs="Arial"/>
              </w:rPr>
            </w:pPr>
            <w:r>
              <w:rPr>
                <w:rFonts w:hint="default" w:ascii="Arial" w:hAnsi="Arial" w:eastAsia="Times New Roman" w:cs="Arial"/>
                <w:sz w:val="20"/>
                <w:szCs w:val="20"/>
              </w:rPr>
              <w:t>78.6%</w:t>
            </w:r>
          </w:p>
        </w:tc>
        <w:tc>
          <w:tcPr>
            <w:tcW w:w="3120" w:type="dxa"/>
            <w:tcBorders>
              <w:top w:val="single" w:color="AAAAAA" w:sz="0" w:space="0"/>
              <w:left w:val="single" w:color="AAAAAA" w:sz="0" w:space="0"/>
              <w:bottom w:val="single" w:color="AAAAAA" w:sz="0" w:space="0"/>
              <w:right w:val="single" w:color="AAAAAA" w:sz="0" w:space="0"/>
            </w:tcBorders>
            <w:shd w:val="clear" w:color="auto" w:fill="F2F4F6"/>
            <w:tcMar>
              <w:top w:w="80" w:type="dxa"/>
              <w:left w:w="120" w:type="dxa"/>
              <w:bottom w:w="80" w:type="dxa"/>
              <w:right w:w="120" w:type="dxa"/>
            </w:tcMar>
            <w:vAlign w:val="center"/>
          </w:tcPr>
          <w:p w14:paraId="5487297A">
            <w:pPr>
              <w:jc w:val="center"/>
              <w:rPr>
                <w:rFonts w:hint="default" w:ascii="Arial" w:hAnsi="Arial" w:cs="Arial"/>
              </w:rPr>
            </w:pPr>
            <w:r>
              <w:rPr>
                <w:rFonts w:hint="default" w:ascii="Arial" w:hAnsi="Arial" w:eastAsia="Times New Roman" w:cs="Arial"/>
                <w:sz w:val="20"/>
                <w:szCs w:val="20"/>
              </w:rPr>
              <w:t>Subject 011 requiring specialized approaches</w:t>
            </w:r>
          </w:p>
        </w:tc>
      </w:tr>
    </w:tbl>
    <w:p w14:paraId="3EB20FEF">
      <w:pPr>
        <w:spacing w:before="80" w:after="200"/>
        <w:jc w:val="center"/>
        <w:rPr>
          <w:rFonts w:hint="default" w:ascii="Arial" w:hAnsi="Arial" w:cs="Arial"/>
        </w:rPr>
      </w:pPr>
      <w:r>
        <w:rPr>
          <w:rFonts w:hint="default" w:ascii="Arial" w:hAnsi="Arial" w:eastAsia="Times New Roman" w:cs="Arial"/>
          <w:i/>
          <w:iCs/>
          <w:color w:val="555555"/>
          <w:sz w:val="20"/>
          <w:szCs w:val="20"/>
        </w:rPr>
        <w:t>Table 5.4: Subject-dependent performance tiers across 19 subjects.</w:t>
      </w:r>
    </w:p>
    <w:p w14:paraId="574123E6">
      <w:pPr>
        <w:spacing w:before="60" w:after="60"/>
        <w:rPr>
          <w:rFonts w:hint="default" w:ascii="Arial" w:hAnsi="Arial" w:cs="Arial"/>
        </w:rPr>
      </w:pPr>
    </w:p>
    <w:p w14:paraId="3AE3CD43">
      <w:pPr>
        <w:spacing w:before="80" w:after="80" w:line="360" w:lineRule="auto"/>
        <w:ind w:firstLine="720"/>
        <w:jc w:val="both"/>
        <w:rPr>
          <w:rFonts w:hint="default" w:ascii="Arial" w:hAnsi="Arial" w:cs="Arial"/>
        </w:rPr>
      </w:pPr>
      <w:r>
        <w:rPr>
          <w:rFonts w:hint="default" w:ascii="Arial" w:hAnsi="Arial" w:eastAsia="Times New Roman" w:cs="Arial"/>
          <w:sz w:val="24"/>
          <w:szCs w:val="24"/>
        </w:rPr>
        <w:t>Optimization insights revealed that the simplified time window of 0.5–3.5 seconds post-stimulus was the most discriminative interval. Subject-specific frequency band optimization revealed individual spectral preferences, and CSP patterns demonstrated high within-subject consistency across sessions.</w:t>
      </w:r>
    </w:p>
    <w:p w14:paraId="55EEDC7B">
      <w:pPr>
        <w:pStyle w:val="4"/>
        <w:spacing w:before="240" w:after="120"/>
        <w:rPr>
          <w:rFonts w:hint="default" w:ascii="Arial" w:hAnsi="Arial" w:cs="Arial"/>
        </w:rPr>
      </w:pPr>
      <w:r>
        <w:rPr>
          <w:rFonts w:hint="default" w:ascii="Arial" w:hAnsi="Arial" w:eastAsia="Times New Roman" w:cs="Arial"/>
          <w:b/>
          <w:bCs/>
          <w:sz w:val="24"/>
          <w:szCs w:val="24"/>
        </w:rPr>
        <w:t>5.6.4 Comparative Strategy Performance</w:t>
      </w:r>
    </w:p>
    <w:p w14:paraId="0993EB29">
      <w:pPr>
        <w:spacing w:before="60" w:after="60"/>
        <w:rPr>
          <w:rFonts w:hint="default" w:ascii="Arial" w:hAnsi="Arial" w:cs="Aria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1800"/>
        <w:gridCol w:w="1620"/>
        <w:gridCol w:w="1620"/>
        <w:gridCol w:w="2220"/>
      </w:tblGrid>
      <w:tr w14:paraId="0AB89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0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vAlign w:val="center"/>
          </w:tcPr>
          <w:p w14:paraId="355A2340">
            <w:pPr>
              <w:jc w:val="center"/>
              <w:rPr>
                <w:rFonts w:hint="default" w:ascii="Arial" w:hAnsi="Arial" w:cs="Arial"/>
              </w:rPr>
            </w:pPr>
            <w:r>
              <w:rPr>
                <w:rFonts w:hint="default" w:ascii="Arial" w:hAnsi="Arial" w:eastAsia="Times New Roman" w:cs="Arial"/>
                <w:b/>
                <w:bCs/>
                <w:color w:val="FFFFFF"/>
                <w:sz w:val="20"/>
                <w:szCs w:val="20"/>
              </w:rPr>
              <w:t>Strategy</w:t>
            </w:r>
          </w:p>
        </w:tc>
        <w:tc>
          <w:tcPr>
            <w:tcW w:w="180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vAlign w:val="center"/>
          </w:tcPr>
          <w:p w14:paraId="5DBAFB96">
            <w:pPr>
              <w:jc w:val="center"/>
              <w:rPr>
                <w:rFonts w:hint="default" w:ascii="Arial" w:hAnsi="Arial" w:cs="Arial"/>
              </w:rPr>
            </w:pPr>
            <w:r>
              <w:rPr>
                <w:rFonts w:hint="default" w:ascii="Arial" w:hAnsi="Arial" w:eastAsia="Times New Roman" w:cs="Arial"/>
                <w:b/>
                <w:bCs/>
                <w:color w:val="FFFFFF"/>
                <w:sz w:val="20"/>
                <w:szCs w:val="20"/>
              </w:rPr>
              <w:t>Mean Accuracy</w:t>
            </w:r>
          </w:p>
        </w:tc>
        <w:tc>
          <w:tcPr>
            <w:tcW w:w="162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vAlign w:val="center"/>
          </w:tcPr>
          <w:p w14:paraId="1EF762F4">
            <w:pPr>
              <w:jc w:val="center"/>
              <w:rPr>
                <w:rFonts w:hint="default" w:ascii="Arial" w:hAnsi="Arial" w:cs="Arial"/>
              </w:rPr>
            </w:pPr>
            <w:r>
              <w:rPr>
                <w:rFonts w:hint="default" w:ascii="Arial" w:hAnsi="Arial" w:eastAsia="Times New Roman" w:cs="Arial"/>
                <w:b/>
                <w:bCs/>
                <w:color w:val="FFFFFF"/>
                <w:sz w:val="20"/>
                <w:szCs w:val="20"/>
              </w:rPr>
              <w:t>Best Subject</w:t>
            </w:r>
          </w:p>
        </w:tc>
        <w:tc>
          <w:tcPr>
            <w:tcW w:w="162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vAlign w:val="center"/>
          </w:tcPr>
          <w:p w14:paraId="14F839DD">
            <w:pPr>
              <w:jc w:val="center"/>
              <w:rPr>
                <w:rFonts w:hint="default" w:ascii="Arial" w:hAnsi="Arial" w:cs="Arial"/>
              </w:rPr>
            </w:pPr>
            <w:r>
              <w:rPr>
                <w:rFonts w:hint="default" w:ascii="Arial" w:hAnsi="Arial" w:eastAsia="Times New Roman" w:cs="Arial"/>
                <w:b/>
                <w:bCs/>
                <w:color w:val="FFFFFF"/>
                <w:sz w:val="20"/>
                <w:szCs w:val="20"/>
              </w:rPr>
              <w:t>Worst Subject</w:t>
            </w:r>
          </w:p>
        </w:tc>
        <w:tc>
          <w:tcPr>
            <w:tcW w:w="222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vAlign w:val="center"/>
          </w:tcPr>
          <w:p w14:paraId="7FD3CC96">
            <w:pPr>
              <w:jc w:val="center"/>
              <w:rPr>
                <w:rFonts w:hint="default" w:ascii="Arial" w:hAnsi="Arial" w:cs="Arial"/>
              </w:rPr>
            </w:pPr>
            <w:r>
              <w:rPr>
                <w:rFonts w:hint="default" w:ascii="Arial" w:hAnsi="Arial" w:eastAsia="Times New Roman" w:cs="Arial"/>
                <w:b/>
                <w:bCs/>
                <w:color w:val="FFFFFF"/>
                <w:sz w:val="20"/>
                <w:szCs w:val="20"/>
              </w:rPr>
              <w:t>Key Advantage</w:t>
            </w:r>
          </w:p>
        </w:tc>
      </w:tr>
      <w:tr w14:paraId="4FFE3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0BAA5E3">
            <w:pPr>
              <w:jc w:val="center"/>
              <w:rPr>
                <w:rFonts w:hint="default" w:ascii="Arial" w:hAnsi="Arial" w:cs="Arial"/>
              </w:rPr>
            </w:pPr>
            <w:r>
              <w:rPr>
                <w:rFonts w:hint="default" w:ascii="Arial" w:hAnsi="Arial" w:eastAsia="Times New Roman" w:cs="Arial"/>
                <w:b/>
                <w:bCs/>
                <w:sz w:val="20"/>
                <w:szCs w:val="20"/>
              </w:rPr>
              <w:t>Spatial (CSP+LDA)</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56E6FC7">
            <w:pPr>
              <w:jc w:val="center"/>
              <w:rPr>
                <w:rFonts w:hint="default" w:ascii="Arial" w:hAnsi="Arial" w:cs="Arial"/>
              </w:rPr>
            </w:pPr>
            <w:r>
              <w:rPr>
                <w:rFonts w:hint="default" w:ascii="Arial" w:hAnsi="Arial" w:eastAsia="Times New Roman" w:cs="Arial"/>
                <w:sz w:val="20"/>
                <w:szCs w:val="20"/>
              </w:rPr>
              <w:t>92.1%</w:t>
            </w:r>
          </w:p>
        </w:tc>
        <w:tc>
          <w:tcPr>
            <w:tcW w:w="16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A6A36E8">
            <w:pPr>
              <w:jc w:val="center"/>
              <w:rPr>
                <w:rFonts w:hint="default" w:ascii="Arial" w:hAnsi="Arial" w:cs="Arial"/>
              </w:rPr>
            </w:pPr>
            <w:r>
              <w:rPr>
                <w:rFonts w:hint="default" w:ascii="Arial" w:hAnsi="Arial" w:eastAsia="Times New Roman" w:cs="Arial"/>
                <w:sz w:val="20"/>
                <w:szCs w:val="20"/>
              </w:rPr>
              <w:t>100%</w:t>
            </w:r>
          </w:p>
        </w:tc>
        <w:tc>
          <w:tcPr>
            <w:tcW w:w="16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1C4B5AF">
            <w:pPr>
              <w:jc w:val="center"/>
              <w:rPr>
                <w:rFonts w:hint="default" w:ascii="Arial" w:hAnsi="Arial" w:cs="Arial"/>
              </w:rPr>
            </w:pPr>
            <w:r>
              <w:rPr>
                <w:rFonts w:hint="default" w:ascii="Arial" w:hAnsi="Arial" w:eastAsia="Times New Roman" w:cs="Arial"/>
                <w:sz w:val="20"/>
                <w:szCs w:val="20"/>
              </w:rPr>
              <w:t>75.4%</w:t>
            </w:r>
          </w:p>
        </w:tc>
        <w:tc>
          <w:tcPr>
            <w:tcW w:w="22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0A2DE90">
            <w:pPr>
              <w:jc w:val="center"/>
              <w:rPr>
                <w:rFonts w:hint="default" w:ascii="Arial" w:hAnsi="Arial" w:cs="Arial"/>
              </w:rPr>
            </w:pPr>
            <w:r>
              <w:rPr>
                <w:rFonts w:hint="default" w:ascii="Arial" w:hAnsi="Arial" w:eastAsia="Times New Roman" w:cs="Arial"/>
                <w:sz w:val="20"/>
                <w:szCs w:val="20"/>
              </w:rPr>
              <w:t>Noise-resistant, physiologically interpretable</w:t>
            </w:r>
          </w:p>
        </w:tc>
      </w:tr>
      <w:tr w14:paraId="2BC72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AAAAAA" w:sz="0" w:space="0"/>
              <w:left w:val="single" w:color="AAAAAA" w:sz="0" w:space="0"/>
              <w:bottom w:val="single" w:color="AAAAAA" w:sz="0" w:space="0"/>
              <w:right w:val="single" w:color="AAAAAA" w:sz="0" w:space="0"/>
            </w:tcBorders>
            <w:shd w:val="clear" w:color="auto" w:fill="F2F4F6"/>
            <w:tcMar>
              <w:top w:w="80" w:type="dxa"/>
              <w:left w:w="120" w:type="dxa"/>
              <w:bottom w:w="80" w:type="dxa"/>
              <w:right w:w="120" w:type="dxa"/>
            </w:tcMar>
            <w:vAlign w:val="center"/>
          </w:tcPr>
          <w:p w14:paraId="7D0DB5B1">
            <w:pPr>
              <w:jc w:val="center"/>
              <w:rPr>
                <w:rFonts w:hint="default" w:ascii="Arial" w:hAnsi="Arial" w:cs="Arial"/>
              </w:rPr>
            </w:pPr>
            <w:r>
              <w:rPr>
                <w:rFonts w:hint="default" w:ascii="Arial" w:hAnsi="Arial" w:eastAsia="Times New Roman" w:cs="Arial"/>
                <w:b/>
                <w:bCs/>
                <w:sz w:val="20"/>
                <w:szCs w:val="20"/>
              </w:rPr>
              <w:t>Time-Frequency (PSD+SVC)</w:t>
            </w:r>
          </w:p>
        </w:tc>
        <w:tc>
          <w:tcPr>
            <w:tcW w:w="1800" w:type="dxa"/>
            <w:tcBorders>
              <w:top w:val="single" w:color="AAAAAA" w:sz="0" w:space="0"/>
              <w:left w:val="single" w:color="AAAAAA" w:sz="0" w:space="0"/>
              <w:bottom w:val="single" w:color="AAAAAA" w:sz="0" w:space="0"/>
              <w:right w:val="single" w:color="AAAAAA" w:sz="0" w:space="0"/>
            </w:tcBorders>
            <w:shd w:val="clear" w:color="auto" w:fill="F2F4F6"/>
            <w:tcMar>
              <w:top w:w="80" w:type="dxa"/>
              <w:left w:w="120" w:type="dxa"/>
              <w:bottom w:w="80" w:type="dxa"/>
              <w:right w:w="120" w:type="dxa"/>
            </w:tcMar>
            <w:vAlign w:val="center"/>
          </w:tcPr>
          <w:p w14:paraId="5FECF378">
            <w:pPr>
              <w:jc w:val="center"/>
              <w:rPr>
                <w:rFonts w:hint="default" w:ascii="Arial" w:hAnsi="Arial" w:cs="Arial"/>
              </w:rPr>
            </w:pPr>
            <w:r>
              <w:rPr>
                <w:rFonts w:hint="default" w:ascii="Arial" w:hAnsi="Arial" w:eastAsia="Times New Roman" w:cs="Arial"/>
                <w:sz w:val="20"/>
                <w:szCs w:val="20"/>
              </w:rPr>
              <w:t>90.3%</w:t>
            </w:r>
          </w:p>
        </w:tc>
        <w:tc>
          <w:tcPr>
            <w:tcW w:w="1620" w:type="dxa"/>
            <w:tcBorders>
              <w:top w:val="single" w:color="AAAAAA" w:sz="0" w:space="0"/>
              <w:left w:val="single" w:color="AAAAAA" w:sz="0" w:space="0"/>
              <w:bottom w:val="single" w:color="AAAAAA" w:sz="0" w:space="0"/>
              <w:right w:val="single" w:color="AAAAAA" w:sz="0" w:space="0"/>
            </w:tcBorders>
            <w:shd w:val="clear" w:color="auto" w:fill="F2F4F6"/>
            <w:tcMar>
              <w:top w:w="80" w:type="dxa"/>
              <w:left w:w="120" w:type="dxa"/>
              <w:bottom w:w="80" w:type="dxa"/>
              <w:right w:w="120" w:type="dxa"/>
            </w:tcMar>
            <w:vAlign w:val="center"/>
          </w:tcPr>
          <w:p w14:paraId="40692A10">
            <w:pPr>
              <w:jc w:val="center"/>
              <w:rPr>
                <w:rFonts w:hint="default" w:ascii="Arial" w:hAnsi="Arial" w:cs="Arial"/>
              </w:rPr>
            </w:pPr>
            <w:r>
              <w:rPr>
                <w:rFonts w:hint="default" w:ascii="Arial" w:hAnsi="Arial" w:eastAsia="Times New Roman" w:cs="Arial"/>
                <w:sz w:val="20"/>
                <w:szCs w:val="20"/>
              </w:rPr>
              <w:t>100%</w:t>
            </w:r>
          </w:p>
        </w:tc>
        <w:tc>
          <w:tcPr>
            <w:tcW w:w="1620" w:type="dxa"/>
            <w:tcBorders>
              <w:top w:val="single" w:color="AAAAAA" w:sz="0" w:space="0"/>
              <w:left w:val="single" w:color="AAAAAA" w:sz="0" w:space="0"/>
              <w:bottom w:val="single" w:color="AAAAAA" w:sz="0" w:space="0"/>
              <w:right w:val="single" w:color="AAAAAA" w:sz="0" w:space="0"/>
            </w:tcBorders>
            <w:shd w:val="clear" w:color="auto" w:fill="F2F4F6"/>
            <w:tcMar>
              <w:top w:w="80" w:type="dxa"/>
              <w:left w:w="120" w:type="dxa"/>
              <w:bottom w:w="80" w:type="dxa"/>
              <w:right w:w="120" w:type="dxa"/>
            </w:tcMar>
            <w:vAlign w:val="center"/>
          </w:tcPr>
          <w:p w14:paraId="0CAC1747">
            <w:pPr>
              <w:jc w:val="center"/>
              <w:rPr>
                <w:rFonts w:hint="default" w:ascii="Arial" w:hAnsi="Arial" w:cs="Arial"/>
              </w:rPr>
            </w:pPr>
            <w:r>
              <w:rPr>
                <w:rFonts w:hint="default" w:ascii="Arial" w:hAnsi="Arial" w:eastAsia="Times New Roman" w:cs="Arial"/>
                <w:sz w:val="20"/>
                <w:szCs w:val="20"/>
              </w:rPr>
              <w:t>72.8%</w:t>
            </w:r>
          </w:p>
        </w:tc>
        <w:tc>
          <w:tcPr>
            <w:tcW w:w="2220" w:type="dxa"/>
            <w:tcBorders>
              <w:top w:val="single" w:color="AAAAAA" w:sz="0" w:space="0"/>
              <w:left w:val="single" w:color="AAAAAA" w:sz="0" w:space="0"/>
              <w:bottom w:val="single" w:color="AAAAAA" w:sz="0" w:space="0"/>
              <w:right w:val="single" w:color="AAAAAA" w:sz="0" w:space="0"/>
            </w:tcBorders>
            <w:shd w:val="clear" w:color="auto" w:fill="F2F4F6"/>
            <w:tcMar>
              <w:top w:w="80" w:type="dxa"/>
              <w:left w:w="120" w:type="dxa"/>
              <w:bottom w:w="80" w:type="dxa"/>
              <w:right w:w="120" w:type="dxa"/>
            </w:tcMar>
            <w:vAlign w:val="center"/>
          </w:tcPr>
          <w:p w14:paraId="3BEDBCDB">
            <w:pPr>
              <w:jc w:val="center"/>
              <w:rPr>
                <w:rFonts w:hint="default" w:ascii="Arial" w:hAnsi="Arial" w:cs="Arial"/>
              </w:rPr>
            </w:pPr>
            <w:r>
              <w:rPr>
                <w:rFonts w:hint="default" w:ascii="Arial" w:hAnsi="Arial" w:eastAsia="Times New Roman" w:cs="Arial"/>
                <w:sz w:val="20"/>
                <w:szCs w:val="20"/>
              </w:rPr>
              <w:t>Captures spectral dynamics, adaptable</w:t>
            </w:r>
          </w:p>
        </w:tc>
      </w:tr>
      <w:tr w14:paraId="02531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B679056">
            <w:pPr>
              <w:jc w:val="center"/>
              <w:rPr>
                <w:rFonts w:hint="default" w:ascii="Arial" w:hAnsi="Arial" w:cs="Arial"/>
              </w:rPr>
            </w:pPr>
            <w:r>
              <w:rPr>
                <w:rFonts w:hint="default" w:ascii="Arial" w:hAnsi="Arial" w:eastAsia="Times New Roman" w:cs="Arial"/>
                <w:b/>
                <w:bCs/>
                <w:sz w:val="20"/>
                <w:szCs w:val="20"/>
              </w:rPr>
              <w:t>Ensemble (Multi-window)</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B2FF640">
            <w:pPr>
              <w:jc w:val="center"/>
              <w:rPr>
                <w:rFonts w:hint="default" w:ascii="Arial" w:hAnsi="Arial" w:cs="Arial"/>
              </w:rPr>
            </w:pPr>
            <w:r>
              <w:rPr>
                <w:rFonts w:hint="default" w:ascii="Arial" w:hAnsi="Arial" w:eastAsia="Times New Roman" w:cs="Arial"/>
                <w:sz w:val="20"/>
                <w:szCs w:val="20"/>
              </w:rPr>
              <w:t>93.8%</w:t>
            </w:r>
          </w:p>
        </w:tc>
        <w:tc>
          <w:tcPr>
            <w:tcW w:w="16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8124F22">
            <w:pPr>
              <w:jc w:val="center"/>
              <w:rPr>
                <w:rFonts w:hint="default" w:ascii="Arial" w:hAnsi="Arial" w:cs="Arial"/>
              </w:rPr>
            </w:pPr>
            <w:r>
              <w:rPr>
                <w:rFonts w:hint="default" w:ascii="Arial" w:hAnsi="Arial" w:eastAsia="Times New Roman" w:cs="Arial"/>
                <w:sz w:val="20"/>
                <w:szCs w:val="20"/>
              </w:rPr>
              <w:t>100%</w:t>
            </w:r>
          </w:p>
        </w:tc>
        <w:tc>
          <w:tcPr>
            <w:tcW w:w="16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EC5CB5C">
            <w:pPr>
              <w:jc w:val="center"/>
              <w:rPr>
                <w:rFonts w:hint="default" w:ascii="Arial" w:hAnsi="Arial" w:cs="Arial"/>
              </w:rPr>
            </w:pPr>
            <w:r>
              <w:rPr>
                <w:rFonts w:hint="default" w:ascii="Arial" w:hAnsi="Arial" w:eastAsia="Times New Roman" w:cs="Arial"/>
                <w:sz w:val="20"/>
                <w:szCs w:val="20"/>
              </w:rPr>
              <w:t>78.6%</w:t>
            </w:r>
          </w:p>
        </w:tc>
        <w:tc>
          <w:tcPr>
            <w:tcW w:w="22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745609E">
            <w:pPr>
              <w:jc w:val="center"/>
              <w:rPr>
                <w:rFonts w:hint="default" w:ascii="Arial" w:hAnsi="Arial" w:cs="Arial"/>
              </w:rPr>
            </w:pPr>
            <w:r>
              <w:rPr>
                <w:rFonts w:hint="default" w:ascii="Arial" w:hAnsi="Arial" w:eastAsia="Times New Roman" w:cs="Arial"/>
                <w:sz w:val="20"/>
                <w:szCs w:val="20"/>
              </w:rPr>
              <w:t>Temporal robustness, generalization</w:t>
            </w:r>
          </w:p>
        </w:tc>
      </w:tr>
    </w:tbl>
    <w:p w14:paraId="07FA65F3">
      <w:pPr>
        <w:spacing w:before="80" w:after="200"/>
        <w:jc w:val="center"/>
        <w:rPr>
          <w:rFonts w:hint="default" w:ascii="Arial" w:hAnsi="Arial" w:cs="Arial"/>
        </w:rPr>
      </w:pPr>
      <w:r>
        <w:rPr>
          <w:rFonts w:hint="default" w:ascii="Arial" w:hAnsi="Arial" w:eastAsia="Times New Roman" w:cs="Arial"/>
          <w:i/>
          <w:iCs/>
          <w:color w:val="555555"/>
          <w:sz w:val="20"/>
          <w:szCs w:val="20"/>
        </w:rPr>
        <w:t>Table 5.5: Comparative performance of the three subject-dependent classification strategies.</w:t>
      </w:r>
    </w:p>
    <w:p w14:paraId="14AF5C48">
      <w:pPr>
        <w:spacing w:before="60" w:after="60"/>
        <w:rPr>
          <w:rFonts w:hint="default" w:ascii="Arial" w:hAnsi="Arial" w:cs="Arial"/>
        </w:rPr>
      </w:pPr>
    </w:p>
    <w:p w14:paraId="6A4F28C4">
      <w:pPr>
        <w:pStyle w:val="3"/>
        <w:spacing w:before="300" w:after="160"/>
        <w:rPr>
          <w:rFonts w:hint="default" w:ascii="Arial" w:hAnsi="Arial" w:cs="Arial"/>
        </w:rPr>
      </w:pPr>
      <w:r>
        <w:rPr>
          <w:rFonts w:hint="default" w:ascii="Arial" w:hAnsi="Arial" w:eastAsia="Times New Roman" w:cs="Arial"/>
          <w:b/>
          <w:bCs/>
          <w:sz w:val="28"/>
          <w:szCs w:val="28"/>
        </w:rPr>
        <w:t>5.7 Comparative Analysis and Discussion</w:t>
      </w:r>
    </w:p>
    <w:p w14:paraId="23F5F338">
      <w:pPr>
        <w:pStyle w:val="4"/>
        <w:spacing w:before="240" w:after="120"/>
        <w:rPr>
          <w:rFonts w:hint="default" w:ascii="Arial" w:hAnsi="Arial" w:cs="Arial"/>
        </w:rPr>
      </w:pPr>
      <w:r>
        <w:rPr>
          <w:rFonts w:hint="default" w:ascii="Arial" w:hAnsi="Arial" w:eastAsia="Times New Roman" w:cs="Arial"/>
          <w:b/>
          <w:bCs/>
          <w:sz w:val="24"/>
          <w:szCs w:val="24"/>
        </w:rPr>
        <w:t>5.7.1 Subject-Specific vs. Cross-Subject Performance</w:t>
      </w:r>
    </w:p>
    <w:p w14:paraId="1257BEF2">
      <w:pPr>
        <w:spacing w:before="80" w:after="80" w:line="360" w:lineRule="auto"/>
        <w:ind w:firstLine="720"/>
        <w:jc w:val="both"/>
        <w:rPr>
          <w:rFonts w:hint="default" w:ascii="Arial" w:hAnsi="Arial" w:cs="Arial"/>
        </w:rPr>
      </w:pPr>
      <w:r>
        <w:rPr>
          <w:rFonts w:hint="default" w:ascii="Arial" w:hAnsi="Arial" w:eastAsia="Times New Roman" w:cs="Arial"/>
          <w:sz w:val="24"/>
          <w:szCs w:val="24"/>
        </w:rPr>
        <w:t>Subject-specific analysis using the optimized CSP+SVM pipeline achieved a peak accuracy of 89.1%, driven by intensive feature engineering, frequency band optimization, and subject-specific training. In contrast, cross-subject classification on the PhysioNet dataset reached a maximum of 54.03% with regularized LDA, with performance ranging from 49.86% to 54.03% across all models. The significant disparity between these two settings highlights the challenge of inter-subject variability, which remains a fundamental obstacle to the generalization of EEG-based BCI systems.</w:t>
      </w:r>
    </w:p>
    <w:p w14:paraId="30A3345F">
      <w:pPr>
        <w:pStyle w:val="4"/>
        <w:spacing w:before="240" w:after="120"/>
        <w:rPr>
          <w:rFonts w:hint="default" w:ascii="Arial" w:hAnsi="Arial" w:cs="Arial"/>
        </w:rPr>
      </w:pPr>
      <w:r>
        <w:rPr>
          <w:rFonts w:hint="default" w:ascii="Arial" w:hAnsi="Arial" w:eastAsia="Times New Roman" w:cs="Arial"/>
          <w:b/>
          <w:bCs/>
          <w:sz w:val="24"/>
          <w:szCs w:val="24"/>
        </w:rPr>
        <w:t>5.7.2 Model Family Performance Patterns</w:t>
      </w:r>
    </w:p>
    <w:p w14:paraId="0E92A9CF">
      <w:pPr>
        <w:spacing w:before="80" w:after="80" w:line="360" w:lineRule="auto"/>
        <w:ind w:firstLine="720"/>
        <w:jc w:val="both"/>
        <w:rPr>
          <w:rFonts w:hint="default" w:ascii="Arial" w:hAnsi="Arial" w:cs="Arial"/>
        </w:rPr>
      </w:pPr>
      <w:r>
        <w:rPr>
          <w:rFonts w:hint="default" w:ascii="Arial" w:hAnsi="Arial" w:eastAsia="Times New Roman" w:cs="Arial"/>
          <w:sz w:val="24"/>
          <w:szCs w:val="24"/>
        </w:rPr>
        <w:t>Linear models, including LDA and Linear SVM, demonstrated clear advantages in terms of computational efficiency and stability with limited data, achieving best performances of 54.03% (LDA on PhysioNet) and 89.1% (CSP+SVM on BCI Competition). Non-linear models, such as RBF SVM and tree ensembles, captured complex patterns and handled non-linear relationships effectively, though they were more sensitive to hyperparameter tuning and entailed higher computational requirements.</w:t>
      </w:r>
    </w:p>
    <w:p w14:paraId="1A6C560D">
      <w:pPr>
        <w:pStyle w:val="4"/>
        <w:spacing w:before="240" w:after="120"/>
        <w:rPr>
          <w:rFonts w:hint="default" w:ascii="Arial" w:hAnsi="Arial" w:cs="Arial"/>
        </w:rPr>
      </w:pPr>
      <w:r>
        <w:rPr>
          <w:rFonts w:hint="default" w:ascii="Arial" w:hAnsi="Arial" w:eastAsia="Times New Roman" w:cs="Arial"/>
          <w:b/>
          <w:bCs/>
          <w:sz w:val="24"/>
          <w:szCs w:val="24"/>
        </w:rPr>
        <w:t>5.7.3 Hyperparameter Sensitivity Analysis</w:t>
      </w:r>
    </w:p>
    <w:p w14:paraId="24256D60">
      <w:pPr>
        <w:spacing w:before="80" w:after="80" w:line="360" w:lineRule="auto"/>
        <w:ind w:firstLine="720"/>
        <w:jc w:val="both"/>
        <w:rPr>
          <w:rFonts w:hint="default" w:ascii="Arial" w:hAnsi="Arial" w:cs="Arial"/>
        </w:rPr>
      </w:pPr>
      <w:r>
        <w:rPr>
          <w:rFonts w:hint="default" w:ascii="Arial" w:hAnsi="Arial" w:eastAsia="Times New Roman" w:cs="Arial"/>
          <w:sz w:val="24"/>
          <w:szCs w:val="24"/>
        </w:rPr>
        <w:t>Frequency band selection proved to be the most impactful parameter, with the 13–30 Hz band improving accuracy by 11 percentage points over the broad band. Six CSP components represented the optimal balance between discrimination and generalization. Regularization strength was critical for preventing overfitting, particularly in tree-based models. For SVM, a linear kernel was optimal for CSP-transformed features, while an RBF kernel was better suited to raw feature spaces. Tree models performed best with conservative depth settings (3–20) and moderate tree counts (50–200), and KNN achieved peak performance with moderate k values (5–11).</w:t>
      </w:r>
    </w:p>
    <w:p w14:paraId="0DACA5F5">
      <w:pPr>
        <w:pStyle w:val="3"/>
        <w:spacing w:before="300" w:after="160"/>
        <w:rPr>
          <w:rFonts w:hint="default" w:ascii="Arial" w:hAnsi="Arial" w:cs="Arial"/>
        </w:rPr>
      </w:pPr>
      <w:r>
        <w:rPr>
          <w:rFonts w:hint="default" w:ascii="Arial" w:hAnsi="Arial" w:eastAsia="Times New Roman" w:cs="Arial"/>
          <w:b/>
          <w:bCs/>
          <w:sz w:val="28"/>
          <w:szCs w:val="28"/>
        </w:rPr>
        <w:t>5.8 Limitations and Future Directions</w:t>
      </w:r>
    </w:p>
    <w:p w14:paraId="24676077">
      <w:pPr>
        <w:pStyle w:val="4"/>
        <w:spacing w:before="240" w:after="120"/>
        <w:rPr>
          <w:rFonts w:hint="default" w:ascii="Arial" w:hAnsi="Arial" w:cs="Arial"/>
        </w:rPr>
      </w:pPr>
      <w:r>
        <w:rPr>
          <w:rFonts w:hint="default" w:ascii="Arial" w:hAnsi="Arial" w:eastAsia="Times New Roman" w:cs="Arial"/>
          <w:b/>
          <w:bCs/>
          <w:sz w:val="24"/>
          <w:szCs w:val="24"/>
        </w:rPr>
        <w:t>5.8.1 Current Limitations</w:t>
      </w:r>
    </w:p>
    <w:p w14:paraId="363F8905">
      <w:pPr>
        <w:pStyle w:val="16"/>
        <w:numPr>
          <w:ilvl w:val="0"/>
          <w:numId w:val="1"/>
        </w:numPr>
        <w:spacing w:before="60" w:after="60" w:line="320" w:lineRule="auto"/>
        <w:rPr>
          <w:rFonts w:hint="default" w:ascii="Arial" w:hAnsi="Arial" w:cs="Arial"/>
        </w:rPr>
      </w:pPr>
      <w:r>
        <w:rPr>
          <w:rFonts w:hint="default" w:ascii="Arial" w:hAnsi="Arial" w:eastAsia="Times New Roman" w:cs="Arial"/>
          <w:sz w:val="24"/>
          <w:szCs w:val="24"/>
        </w:rPr>
        <w:t>Binary Classification Focus: The exclusion of a rest condition limits practical BCI applicability, as real-world systems must handle periods of non-imagery.</w:t>
      </w:r>
    </w:p>
    <w:p w14:paraId="3B621256">
      <w:pPr>
        <w:pStyle w:val="16"/>
        <w:numPr>
          <w:ilvl w:val="0"/>
          <w:numId w:val="1"/>
        </w:numPr>
        <w:spacing w:before="60" w:after="60" w:line="320" w:lineRule="auto"/>
        <w:rPr>
          <w:rFonts w:hint="default" w:ascii="Arial" w:hAnsi="Arial" w:cs="Arial"/>
        </w:rPr>
      </w:pPr>
      <w:r>
        <w:rPr>
          <w:rFonts w:hint="default" w:ascii="Arial" w:hAnsi="Arial" w:eastAsia="Times New Roman" w:cs="Arial"/>
          <w:sz w:val="24"/>
          <w:szCs w:val="24"/>
        </w:rPr>
        <w:t>Subject Variability: Cross-subject performance is significantly lower than subject-specific performance, reflecting the challenge of inter-individual neural variability.</w:t>
      </w:r>
    </w:p>
    <w:p w14:paraId="49EF9CDE">
      <w:pPr>
        <w:pStyle w:val="16"/>
        <w:numPr>
          <w:ilvl w:val="0"/>
          <w:numId w:val="1"/>
        </w:numPr>
        <w:spacing w:before="60" w:after="60" w:line="320" w:lineRule="auto"/>
        <w:rPr>
          <w:rFonts w:hint="default" w:ascii="Arial" w:hAnsi="Arial" w:cs="Arial"/>
        </w:rPr>
      </w:pPr>
      <w:r>
        <w:rPr>
          <w:rFonts w:hint="default" w:ascii="Arial" w:hAnsi="Arial" w:eastAsia="Times New Roman" w:cs="Arial"/>
          <w:sz w:val="24"/>
          <w:szCs w:val="24"/>
        </w:rPr>
        <w:t>Computational Demands: Deep learning models require substantially more computational resources while offering limited accuracy gains over well-engineered classical pipelines.</w:t>
      </w:r>
    </w:p>
    <w:p w14:paraId="40BDD7BD">
      <w:pPr>
        <w:pStyle w:val="4"/>
        <w:spacing w:before="240" w:after="120"/>
        <w:rPr>
          <w:rFonts w:hint="default" w:ascii="Arial" w:hAnsi="Arial" w:cs="Arial"/>
        </w:rPr>
      </w:pPr>
      <w:r>
        <w:rPr>
          <w:rFonts w:hint="default" w:ascii="Arial" w:hAnsi="Arial" w:eastAsia="Times New Roman" w:cs="Arial"/>
          <w:b/>
          <w:bCs/>
          <w:sz w:val="24"/>
          <w:szCs w:val="24"/>
        </w:rPr>
        <w:t>5.8.2 Future Improvements</w:t>
      </w:r>
    </w:p>
    <w:p w14:paraId="7F79BFD0">
      <w:pPr>
        <w:pStyle w:val="16"/>
        <w:numPr>
          <w:ilvl w:val="0"/>
          <w:numId w:val="1"/>
        </w:numPr>
        <w:spacing w:before="60" w:after="60" w:line="320" w:lineRule="auto"/>
        <w:rPr>
          <w:rFonts w:hint="default" w:ascii="Arial" w:hAnsi="Arial" w:cs="Arial"/>
        </w:rPr>
      </w:pPr>
      <w:r>
        <w:rPr>
          <w:rFonts w:hint="default" w:ascii="Arial" w:hAnsi="Arial" w:eastAsia="Times New Roman" w:cs="Arial"/>
          <w:sz w:val="24"/>
          <w:szCs w:val="24"/>
        </w:rPr>
        <w:t>Multi-class Extension: Incorporating the rest condition would yield a complete and practically deployable BCI system.</w:t>
      </w:r>
    </w:p>
    <w:p w14:paraId="206F9D47">
      <w:pPr>
        <w:pStyle w:val="16"/>
        <w:numPr>
          <w:ilvl w:val="0"/>
          <w:numId w:val="1"/>
        </w:numPr>
        <w:spacing w:before="60" w:after="60" w:line="320" w:lineRule="auto"/>
        <w:rPr>
          <w:rFonts w:hint="default" w:ascii="Arial" w:hAnsi="Arial" w:cs="Arial"/>
        </w:rPr>
      </w:pPr>
      <w:r>
        <w:rPr>
          <w:rFonts w:hint="default" w:ascii="Arial" w:hAnsi="Arial" w:eastAsia="Times New Roman" w:cs="Arial"/>
          <w:sz w:val="24"/>
          <w:szCs w:val="24"/>
        </w:rPr>
        <w:t>Transfer Learning: Subject adaptation techniques such as domain adaptation and fine-tuning could substantially improve cross-subject generalization.</w:t>
      </w:r>
    </w:p>
    <w:p w14:paraId="58EE89CE">
      <w:pPr>
        <w:pStyle w:val="16"/>
        <w:numPr>
          <w:ilvl w:val="0"/>
          <w:numId w:val="1"/>
        </w:numPr>
        <w:spacing w:before="60" w:after="60" w:line="320" w:lineRule="auto"/>
        <w:rPr>
          <w:rFonts w:hint="default" w:ascii="Arial" w:hAnsi="Arial" w:cs="Arial"/>
        </w:rPr>
      </w:pPr>
      <w:r>
        <w:rPr>
          <w:rFonts w:hint="default" w:ascii="Arial" w:hAnsi="Arial" w:eastAsia="Times New Roman" w:cs="Arial"/>
          <w:sz w:val="24"/>
          <w:szCs w:val="24"/>
        </w:rPr>
        <w:t>Meta-Learning Approaches: Few-shot and meta-learning frameworks could enable rapid calibration for new subjects with minimal labeled data.</w:t>
      </w:r>
    </w:p>
    <w:p w14:paraId="1AB7AA23">
      <w:pPr>
        <w:pStyle w:val="16"/>
        <w:numPr>
          <w:ilvl w:val="0"/>
          <w:numId w:val="1"/>
        </w:numPr>
        <w:spacing w:before="60" w:after="60" w:line="320" w:lineRule="auto"/>
        <w:rPr>
          <w:rFonts w:hint="default" w:ascii="Arial" w:hAnsi="Arial" w:cs="Arial"/>
        </w:rPr>
      </w:pPr>
      <w:r>
        <w:rPr>
          <w:rFonts w:hint="default" w:ascii="Arial" w:hAnsi="Arial" w:eastAsia="Times New Roman" w:cs="Arial"/>
          <w:sz w:val="24"/>
          <w:szCs w:val="24"/>
        </w:rPr>
        <w:t>Hybrid Architectures: Combining the interpretability and efficiency of classical feature engineering (e.g., CSP) with the representational power of deep learning could yield further performance improvements.</w:t>
      </w:r>
    </w:p>
    <w:p w14:paraId="33FE980B">
      <w:pPr>
        <w:pStyle w:val="16"/>
        <w:numPr>
          <w:ilvl w:val="0"/>
          <w:numId w:val="1"/>
        </w:numPr>
        <w:spacing w:before="60" w:after="60" w:line="320" w:lineRule="auto"/>
        <w:rPr>
          <w:rFonts w:hint="default" w:ascii="Arial" w:hAnsi="Arial" w:cs="Arial"/>
        </w:rPr>
      </w:pPr>
      <w:r>
        <w:rPr>
          <w:rFonts w:hint="default" w:ascii="Arial" w:hAnsi="Arial" w:eastAsia="Times New Roman" w:cs="Arial"/>
          <w:sz w:val="24"/>
          <w:szCs w:val="24"/>
        </w:rPr>
        <w:t>Real-time Optimization: Adaptive hyperparameter tuning in dynamic BCI environments would enhance the practical utility of the system.</w:t>
      </w:r>
    </w:p>
    <w:p w14:paraId="1322DB11">
      <w:pPr>
        <w:pStyle w:val="3"/>
        <w:spacing w:before="300" w:after="160"/>
        <w:rPr>
          <w:rFonts w:hint="default" w:ascii="Arial" w:hAnsi="Arial" w:cs="Arial"/>
        </w:rPr>
      </w:pPr>
      <w:r>
        <w:rPr>
          <w:rFonts w:hint="default" w:ascii="Arial" w:hAnsi="Arial" w:eastAsia="Times New Roman" w:cs="Arial"/>
          <w:b/>
          <w:bCs/>
          <w:sz w:val="28"/>
          <w:szCs w:val="28"/>
        </w:rPr>
        <w:t>5.9 Conclusion</w:t>
      </w:r>
    </w:p>
    <w:p w14:paraId="1BA435C2">
      <w:pPr>
        <w:spacing w:before="80" w:after="80" w:line="360" w:lineRule="auto"/>
        <w:ind w:firstLine="720"/>
        <w:jc w:val="both"/>
        <w:rPr>
          <w:rFonts w:hint="default" w:ascii="Arial" w:hAnsi="Arial" w:cs="Arial"/>
        </w:rPr>
      </w:pPr>
      <w:r>
        <w:rPr>
          <w:rFonts w:hint="default" w:ascii="Arial" w:hAnsi="Arial" w:eastAsia="Times New Roman" w:cs="Arial"/>
          <w:sz w:val="24"/>
          <w:szCs w:val="24"/>
        </w:rPr>
        <w:t>This chapter presented a comprehensive evaluation of machine learning models for EEG-based motor imagery classification. The research demonstrates that traditional methods with careful feature engineering, specifically CSP combined with SVM, achieve state-of-the-art performance of 89.1% accuracy in subject-specific contexts. Linear models with regularization, such as LDA and Linear SVM, provide the best balance of performance and efficiency for cross-subject applications. Ensemble methods including Random Forest and XGBoost offer robust performance but require careful regularization to prevent overfitting. Systematic hyperparameter optimization is critical, with frequency band selection and CSP component count being particularly impactful. Overall, these findings underscore that thoughtful signal processing and feature engineering remain indispensable pillars of competitive motor imagery classification pipelines.</w:t>
      </w:r>
    </w:p>
    <w:p w14:paraId="76F58AC3">
      <w:pPr>
        <w:rPr>
          <w:rFonts w:hint="default" w:ascii="Arial" w:hAnsi="Arial" w:cs="Arial"/>
        </w:rPr>
      </w:pPr>
      <w:r>
        <w:rPr>
          <w:rFonts w:hint="default" w:ascii="Arial" w:hAnsi="Arial" w:cs="Arial"/>
        </w:rPr>
        <w:br w:type="page"/>
      </w:r>
    </w:p>
    <w:p w14:paraId="22363B19">
      <w:pPr>
        <w:pStyle w:val="2"/>
        <w:spacing w:before="0" w:after="240"/>
        <w:rPr>
          <w:rFonts w:hint="default" w:ascii="Arial" w:hAnsi="Arial" w:cs="Arial"/>
        </w:rPr>
      </w:pPr>
      <w:r>
        <w:rPr>
          <w:rFonts w:hint="default" w:ascii="Arial" w:hAnsi="Arial" w:eastAsia="Times New Roman" w:cs="Arial"/>
          <w:b/>
          <w:bCs/>
          <w:color w:val="1A1A2E"/>
          <w:sz w:val="36"/>
          <w:szCs w:val="36"/>
        </w:rPr>
        <w:t>Appendix A: Preliminary ECoG Analysis — Multi-Class Motor Imagery</w:t>
      </w:r>
    </w:p>
    <w:p w14:paraId="5B76E4C7">
      <w:pPr>
        <w:spacing w:before="80" w:after="80" w:line="360" w:lineRule="auto"/>
        <w:ind w:firstLine="720"/>
        <w:jc w:val="both"/>
        <w:rPr>
          <w:rFonts w:hint="default" w:ascii="Arial" w:hAnsi="Arial" w:cs="Arial"/>
        </w:rPr>
      </w:pPr>
      <w:r>
        <w:rPr>
          <w:rFonts w:hint="default" w:ascii="Arial" w:hAnsi="Arial" w:eastAsia="Times New Roman" w:cs="Arial"/>
          <w:sz w:val="24"/>
          <w:szCs w:val="24"/>
        </w:rPr>
        <w:t>This appendix summarizes the exploratory analysis of Electrocorticography (ECoG) data that preceded the main EEG pipeline. The study served as a proof-of-concept for spectral feature extraction and baseline classification and informed several design decisions in the primary methodology.</w:t>
      </w:r>
    </w:p>
    <w:p w14:paraId="508029F0">
      <w:pPr>
        <w:pStyle w:val="3"/>
        <w:spacing w:before="300" w:after="160"/>
        <w:rPr>
          <w:rFonts w:hint="default" w:ascii="Arial" w:hAnsi="Arial" w:cs="Arial"/>
        </w:rPr>
      </w:pPr>
      <w:r>
        <w:rPr>
          <w:rFonts w:hint="default" w:ascii="Arial" w:hAnsi="Arial" w:eastAsia="Times New Roman" w:cs="Arial"/>
          <w:b/>
          <w:bCs/>
          <w:sz w:val="28"/>
          <w:szCs w:val="28"/>
        </w:rPr>
        <w:t>A.1 Dataset and Preprocessing</w:t>
      </w:r>
    </w:p>
    <w:p w14:paraId="495B7B7A">
      <w:pPr>
        <w:spacing w:before="80" w:after="80" w:line="360" w:lineRule="auto"/>
        <w:ind w:firstLine="720"/>
        <w:jc w:val="both"/>
        <w:rPr>
          <w:rFonts w:hint="default" w:ascii="Arial" w:hAnsi="Arial" w:cs="Arial"/>
        </w:rPr>
      </w:pPr>
      <w:r>
        <w:rPr>
          <w:rFonts w:hint="default" w:ascii="Arial" w:hAnsi="Arial" w:eastAsia="Times New Roman" w:cs="Arial"/>
          <w:sz w:val="24"/>
          <w:szCs w:val="24"/>
        </w:rPr>
        <w:t>ECoG recordings were obtained from a single subject performing imagined movements. The dataset consisted of 22 cortical electrodes sampled at 200 Hz. The subject performed six imagined movement conditions: left hand, right hand, left leg, right leg, tongue, and a passive/neutral state. The continuous signal was segmented into fixed-length epochs of 3 seconds (600 samples) aligned to movement onset cue. A total of 952 epochs were extracted, with each class containing approximately 30,000–48,000 samples.</w:t>
      </w:r>
    </w:p>
    <w:p w14:paraId="081398D9">
      <w:pPr>
        <w:pStyle w:val="3"/>
        <w:spacing w:before="300" w:after="160"/>
        <w:rPr>
          <w:rFonts w:hint="default" w:ascii="Arial" w:hAnsi="Arial" w:cs="Arial"/>
        </w:rPr>
      </w:pPr>
      <w:r>
        <w:rPr>
          <w:rFonts w:hint="default" w:ascii="Arial" w:hAnsi="Arial" w:eastAsia="Times New Roman" w:cs="Arial"/>
          <w:b/>
          <w:bCs/>
          <w:sz w:val="28"/>
          <w:szCs w:val="28"/>
        </w:rPr>
        <w:t>A.2 Feature Extraction</w:t>
      </w:r>
    </w:p>
    <w:p w14:paraId="5EA0B262">
      <w:pPr>
        <w:spacing w:before="80" w:after="80" w:line="360" w:lineRule="auto"/>
        <w:ind w:firstLine="720"/>
        <w:jc w:val="both"/>
        <w:rPr>
          <w:rFonts w:hint="default" w:ascii="Arial" w:hAnsi="Arial" w:cs="Arial"/>
        </w:rPr>
      </w:pPr>
      <w:r>
        <w:rPr>
          <w:rFonts w:hint="default" w:ascii="Arial" w:hAnsi="Arial" w:eastAsia="Times New Roman" w:cs="Arial"/>
          <w:sz w:val="24"/>
          <w:szCs w:val="24"/>
        </w:rPr>
        <w:t>Power Spectral Density estimates were computed for each channel using Welch’s method. Average spectral power was calculated across six physiologically relevant frequency bands, yielding a feature vector of 132 dimensions (22 channels × 6 bands) per epoch.</w:t>
      </w:r>
    </w:p>
    <w:p w14:paraId="66D0BA7A">
      <w:pPr>
        <w:spacing w:before="60" w:after="60"/>
        <w:rPr>
          <w:rFonts w:hint="default" w:ascii="Arial" w:hAnsi="Arial" w:cs="Aria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4680"/>
      </w:tblGrid>
      <w:tr w14:paraId="570C2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vAlign w:val="center"/>
          </w:tcPr>
          <w:p w14:paraId="27DFC25B">
            <w:pPr>
              <w:jc w:val="center"/>
              <w:rPr>
                <w:rFonts w:hint="default" w:ascii="Arial" w:hAnsi="Arial" w:cs="Arial"/>
              </w:rPr>
            </w:pPr>
            <w:r>
              <w:rPr>
                <w:rFonts w:hint="default" w:ascii="Arial" w:hAnsi="Arial" w:eastAsia="Times New Roman" w:cs="Arial"/>
                <w:b/>
                <w:bCs/>
                <w:color w:val="FFFFFF"/>
                <w:sz w:val="20"/>
                <w:szCs w:val="20"/>
              </w:rPr>
              <w:t>Frequency Band</w:t>
            </w:r>
          </w:p>
        </w:tc>
        <w:tc>
          <w:tcPr>
            <w:tcW w:w="234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vAlign w:val="center"/>
          </w:tcPr>
          <w:p w14:paraId="3D97B761">
            <w:pPr>
              <w:jc w:val="center"/>
              <w:rPr>
                <w:rFonts w:hint="default" w:ascii="Arial" w:hAnsi="Arial" w:cs="Arial"/>
              </w:rPr>
            </w:pPr>
            <w:r>
              <w:rPr>
                <w:rFonts w:hint="default" w:ascii="Arial" w:hAnsi="Arial" w:eastAsia="Times New Roman" w:cs="Arial"/>
                <w:b/>
                <w:bCs/>
                <w:color w:val="FFFFFF"/>
                <w:sz w:val="20"/>
                <w:szCs w:val="20"/>
              </w:rPr>
              <w:t>Range (Hz)</w:t>
            </w:r>
          </w:p>
        </w:tc>
        <w:tc>
          <w:tcPr>
            <w:tcW w:w="468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vAlign w:val="center"/>
          </w:tcPr>
          <w:p w14:paraId="1F8C6F50">
            <w:pPr>
              <w:jc w:val="center"/>
              <w:rPr>
                <w:rFonts w:hint="default" w:ascii="Arial" w:hAnsi="Arial" w:cs="Arial"/>
              </w:rPr>
            </w:pPr>
            <w:r>
              <w:rPr>
                <w:rFonts w:hint="default" w:ascii="Arial" w:hAnsi="Arial" w:eastAsia="Times New Roman" w:cs="Arial"/>
                <w:b/>
                <w:bCs/>
                <w:color w:val="FFFFFF"/>
                <w:sz w:val="20"/>
                <w:szCs w:val="20"/>
              </w:rPr>
              <w:t>Notes</w:t>
            </w:r>
          </w:p>
        </w:tc>
      </w:tr>
      <w:tr w14:paraId="51698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F5C8333">
            <w:pPr>
              <w:jc w:val="center"/>
              <w:rPr>
                <w:rFonts w:hint="default" w:ascii="Arial" w:hAnsi="Arial" w:cs="Arial"/>
              </w:rPr>
            </w:pPr>
            <w:r>
              <w:rPr>
                <w:rFonts w:hint="default" w:ascii="Arial" w:hAnsi="Arial" w:eastAsia="Times New Roman" w:cs="Arial"/>
                <w:b/>
                <w:bCs/>
                <w:sz w:val="20"/>
                <w:szCs w:val="20"/>
              </w:rPr>
              <w:t>Delta</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D4AC9B7">
            <w:pPr>
              <w:jc w:val="center"/>
              <w:rPr>
                <w:rFonts w:hint="default" w:ascii="Arial" w:hAnsi="Arial" w:cs="Arial"/>
              </w:rPr>
            </w:pPr>
            <w:r>
              <w:rPr>
                <w:rFonts w:hint="default" w:ascii="Arial" w:hAnsi="Arial" w:eastAsia="Times New Roman" w:cs="Arial"/>
                <w:sz w:val="20"/>
                <w:szCs w:val="20"/>
              </w:rPr>
              <w:t>0.5–4 Hz</w:t>
            </w:r>
          </w:p>
        </w:tc>
        <w:tc>
          <w:tcPr>
            <w:tcW w:w="46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499708B">
            <w:pPr>
              <w:jc w:val="center"/>
              <w:rPr>
                <w:rFonts w:hint="default" w:ascii="Arial" w:hAnsi="Arial" w:cs="Arial"/>
              </w:rPr>
            </w:pPr>
            <w:r>
              <w:rPr>
                <w:rFonts w:hint="default" w:ascii="Arial" w:hAnsi="Arial" w:eastAsia="Times New Roman" w:cs="Arial"/>
                <w:sz w:val="20"/>
                <w:szCs w:val="20"/>
              </w:rPr>
              <w:t>Associated with passive/neutral states</w:t>
            </w:r>
          </w:p>
        </w:tc>
      </w:tr>
      <w:tr w14:paraId="1465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shd w:val="clear" w:color="auto" w:fill="F2F4F6"/>
            <w:tcMar>
              <w:top w:w="80" w:type="dxa"/>
              <w:left w:w="120" w:type="dxa"/>
              <w:bottom w:w="80" w:type="dxa"/>
              <w:right w:w="120" w:type="dxa"/>
            </w:tcMar>
            <w:vAlign w:val="center"/>
          </w:tcPr>
          <w:p w14:paraId="3BF911AE">
            <w:pPr>
              <w:jc w:val="center"/>
              <w:rPr>
                <w:rFonts w:hint="default" w:ascii="Arial" w:hAnsi="Arial" w:cs="Arial"/>
              </w:rPr>
            </w:pPr>
            <w:r>
              <w:rPr>
                <w:rFonts w:hint="default" w:ascii="Arial" w:hAnsi="Arial" w:eastAsia="Times New Roman" w:cs="Arial"/>
                <w:b/>
                <w:bCs/>
                <w:sz w:val="20"/>
                <w:szCs w:val="20"/>
              </w:rPr>
              <w:t>Theta</w:t>
            </w:r>
          </w:p>
        </w:tc>
        <w:tc>
          <w:tcPr>
            <w:tcW w:w="2340" w:type="dxa"/>
            <w:tcBorders>
              <w:top w:val="single" w:color="AAAAAA" w:sz="0" w:space="0"/>
              <w:left w:val="single" w:color="AAAAAA" w:sz="0" w:space="0"/>
              <w:bottom w:val="single" w:color="AAAAAA" w:sz="0" w:space="0"/>
              <w:right w:val="single" w:color="AAAAAA" w:sz="0" w:space="0"/>
            </w:tcBorders>
            <w:shd w:val="clear" w:color="auto" w:fill="F2F4F6"/>
            <w:tcMar>
              <w:top w:w="80" w:type="dxa"/>
              <w:left w:w="120" w:type="dxa"/>
              <w:bottom w:w="80" w:type="dxa"/>
              <w:right w:w="120" w:type="dxa"/>
            </w:tcMar>
            <w:vAlign w:val="center"/>
          </w:tcPr>
          <w:p w14:paraId="39AFA968">
            <w:pPr>
              <w:jc w:val="center"/>
              <w:rPr>
                <w:rFonts w:hint="default" w:ascii="Arial" w:hAnsi="Arial" w:cs="Arial"/>
              </w:rPr>
            </w:pPr>
            <w:r>
              <w:rPr>
                <w:rFonts w:hint="default" w:ascii="Arial" w:hAnsi="Arial" w:eastAsia="Times New Roman" w:cs="Arial"/>
                <w:sz w:val="20"/>
                <w:szCs w:val="20"/>
              </w:rPr>
              <w:t>4–8 Hz</w:t>
            </w:r>
          </w:p>
        </w:tc>
        <w:tc>
          <w:tcPr>
            <w:tcW w:w="4680" w:type="dxa"/>
            <w:tcBorders>
              <w:top w:val="single" w:color="AAAAAA" w:sz="0" w:space="0"/>
              <w:left w:val="single" w:color="AAAAAA" w:sz="0" w:space="0"/>
              <w:bottom w:val="single" w:color="AAAAAA" w:sz="0" w:space="0"/>
              <w:right w:val="single" w:color="AAAAAA" w:sz="0" w:space="0"/>
            </w:tcBorders>
            <w:shd w:val="clear" w:color="auto" w:fill="F2F4F6"/>
            <w:tcMar>
              <w:top w:w="80" w:type="dxa"/>
              <w:left w:w="120" w:type="dxa"/>
              <w:bottom w:w="80" w:type="dxa"/>
              <w:right w:w="120" w:type="dxa"/>
            </w:tcMar>
            <w:vAlign w:val="center"/>
          </w:tcPr>
          <w:p w14:paraId="3873B337">
            <w:pPr>
              <w:jc w:val="center"/>
              <w:rPr>
                <w:rFonts w:hint="default" w:ascii="Arial" w:hAnsi="Arial" w:cs="Arial"/>
              </w:rPr>
            </w:pPr>
            <w:r>
              <w:rPr>
                <w:rFonts w:hint="default" w:ascii="Arial" w:hAnsi="Arial" w:eastAsia="Times New Roman" w:cs="Arial"/>
                <w:sz w:val="20"/>
                <w:szCs w:val="20"/>
              </w:rPr>
              <w:t>Right-leg and tongue imagery</w:t>
            </w:r>
          </w:p>
        </w:tc>
      </w:tr>
      <w:tr w14:paraId="047F5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6D73F6A">
            <w:pPr>
              <w:jc w:val="center"/>
              <w:rPr>
                <w:rFonts w:hint="default" w:ascii="Arial" w:hAnsi="Arial" w:cs="Arial"/>
              </w:rPr>
            </w:pPr>
            <w:r>
              <w:rPr>
                <w:rFonts w:hint="default" w:ascii="Arial" w:hAnsi="Arial" w:eastAsia="Times New Roman" w:cs="Arial"/>
                <w:b/>
                <w:bCs/>
                <w:sz w:val="20"/>
                <w:szCs w:val="20"/>
              </w:rPr>
              <w:t>Alpha / Mu</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3A86F78">
            <w:pPr>
              <w:jc w:val="center"/>
              <w:rPr>
                <w:rFonts w:hint="default" w:ascii="Arial" w:hAnsi="Arial" w:cs="Arial"/>
              </w:rPr>
            </w:pPr>
            <w:r>
              <w:rPr>
                <w:rFonts w:hint="default" w:ascii="Arial" w:hAnsi="Arial" w:eastAsia="Times New Roman" w:cs="Arial"/>
                <w:sz w:val="20"/>
                <w:szCs w:val="20"/>
              </w:rPr>
              <w:t>8–13 Hz</w:t>
            </w:r>
          </w:p>
        </w:tc>
        <w:tc>
          <w:tcPr>
            <w:tcW w:w="46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ED49D50">
            <w:pPr>
              <w:jc w:val="center"/>
              <w:rPr>
                <w:rFonts w:hint="default" w:ascii="Arial" w:hAnsi="Arial" w:cs="Arial"/>
              </w:rPr>
            </w:pPr>
            <w:r>
              <w:rPr>
                <w:rFonts w:hint="default" w:ascii="Arial" w:hAnsi="Arial" w:eastAsia="Times New Roman" w:cs="Arial"/>
                <w:sz w:val="20"/>
                <w:szCs w:val="20"/>
              </w:rPr>
              <w:t>Sensorimotor idling</w:t>
            </w:r>
          </w:p>
        </w:tc>
      </w:tr>
      <w:tr w14:paraId="46C65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shd w:val="clear" w:color="auto" w:fill="F2F4F6"/>
            <w:tcMar>
              <w:top w:w="80" w:type="dxa"/>
              <w:left w:w="120" w:type="dxa"/>
              <w:bottom w:w="80" w:type="dxa"/>
              <w:right w:w="120" w:type="dxa"/>
            </w:tcMar>
            <w:vAlign w:val="center"/>
          </w:tcPr>
          <w:p w14:paraId="64A1033B">
            <w:pPr>
              <w:jc w:val="center"/>
              <w:rPr>
                <w:rFonts w:hint="default" w:ascii="Arial" w:hAnsi="Arial" w:cs="Arial"/>
              </w:rPr>
            </w:pPr>
            <w:r>
              <w:rPr>
                <w:rFonts w:hint="default" w:ascii="Arial" w:hAnsi="Arial" w:eastAsia="Times New Roman" w:cs="Arial"/>
                <w:b/>
                <w:bCs/>
                <w:sz w:val="20"/>
                <w:szCs w:val="20"/>
              </w:rPr>
              <w:t>Beta</w:t>
            </w:r>
          </w:p>
        </w:tc>
        <w:tc>
          <w:tcPr>
            <w:tcW w:w="2340" w:type="dxa"/>
            <w:tcBorders>
              <w:top w:val="single" w:color="AAAAAA" w:sz="0" w:space="0"/>
              <w:left w:val="single" w:color="AAAAAA" w:sz="0" w:space="0"/>
              <w:bottom w:val="single" w:color="AAAAAA" w:sz="0" w:space="0"/>
              <w:right w:val="single" w:color="AAAAAA" w:sz="0" w:space="0"/>
            </w:tcBorders>
            <w:shd w:val="clear" w:color="auto" w:fill="F2F4F6"/>
            <w:tcMar>
              <w:top w:w="80" w:type="dxa"/>
              <w:left w:w="120" w:type="dxa"/>
              <w:bottom w:w="80" w:type="dxa"/>
              <w:right w:w="120" w:type="dxa"/>
            </w:tcMar>
            <w:vAlign w:val="center"/>
          </w:tcPr>
          <w:p w14:paraId="5515D2FA">
            <w:pPr>
              <w:jc w:val="center"/>
              <w:rPr>
                <w:rFonts w:hint="default" w:ascii="Arial" w:hAnsi="Arial" w:cs="Arial"/>
              </w:rPr>
            </w:pPr>
            <w:r>
              <w:rPr>
                <w:rFonts w:hint="default" w:ascii="Arial" w:hAnsi="Arial" w:eastAsia="Times New Roman" w:cs="Arial"/>
                <w:sz w:val="20"/>
                <w:szCs w:val="20"/>
              </w:rPr>
              <w:t>13–30 Hz</w:t>
            </w:r>
          </w:p>
        </w:tc>
        <w:tc>
          <w:tcPr>
            <w:tcW w:w="4680" w:type="dxa"/>
            <w:tcBorders>
              <w:top w:val="single" w:color="AAAAAA" w:sz="0" w:space="0"/>
              <w:left w:val="single" w:color="AAAAAA" w:sz="0" w:space="0"/>
              <w:bottom w:val="single" w:color="AAAAAA" w:sz="0" w:space="0"/>
              <w:right w:val="single" w:color="AAAAAA" w:sz="0" w:space="0"/>
            </w:tcBorders>
            <w:shd w:val="clear" w:color="auto" w:fill="F2F4F6"/>
            <w:tcMar>
              <w:top w:w="80" w:type="dxa"/>
              <w:left w:w="120" w:type="dxa"/>
              <w:bottom w:w="80" w:type="dxa"/>
              <w:right w:w="120" w:type="dxa"/>
            </w:tcMar>
            <w:vAlign w:val="center"/>
          </w:tcPr>
          <w:p w14:paraId="51A565DC">
            <w:pPr>
              <w:jc w:val="center"/>
              <w:rPr>
                <w:rFonts w:hint="default" w:ascii="Arial" w:hAnsi="Arial" w:cs="Arial"/>
              </w:rPr>
            </w:pPr>
            <w:r>
              <w:rPr>
                <w:rFonts w:hint="default" w:ascii="Arial" w:hAnsi="Arial" w:eastAsia="Times New Roman" w:cs="Arial"/>
                <w:sz w:val="20"/>
                <w:szCs w:val="20"/>
              </w:rPr>
              <w:t>Movement-related oscillations</w:t>
            </w:r>
          </w:p>
        </w:tc>
      </w:tr>
      <w:tr w14:paraId="626D4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DC75185">
            <w:pPr>
              <w:jc w:val="center"/>
              <w:rPr>
                <w:rFonts w:hint="default" w:ascii="Arial" w:hAnsi="Arial" w:cs="Arial"/>
              </w:rPr>
            </w:pPr>
            <w:r>
              <w:rPr>
                <w:rFonts w:hint="default" w:ascii="Arial" w:hAnsi="Arial" w:eastAsia="Times New Roman" w:cs="Arial"/>
                <w:b/>
                <w:bCs/>
                <w:sz w:val="20"/>
                <w:szCs w:val="20"/>
              </w:rPr>
              <w:t>Gamma</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D70977E">
            <w:pPr>
              <w:jc w:val="center"/>
              <w:rPr>
                <w:rFonts w:hint="default" w:ascii="Arial" w:hAnsi="Arial" w:cs="Arial"/>
              </w:rPr>
            </w:pPr>
            <w:r>
              <w:rPr>
                <w:rFonts w:hint="default" w:ascii="Arial" w:hAnsi="Arial" w:eastAsia="Times New Roman" w:cs="Arial"/>
                <w:sz w:val="20"/>
                <w:szCs w:val="20"/>
              </w:rPr>
              <w:t>30–80 Hz</w:t>
            </w:r>
          </w:p>
        </w:tc>
        <w:tc>
          <w:tcPr>
            <w:tcW w:w="46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3728300">
            <w:pPr>
              <w:jc w:val="center"/>
              <w:rPr>
                <w:rFonts w:hint="default" w:ascii="Arial" w:hAnsi="Arial" w:cs="Arial"/>
              </w:rPr>
            </w:pPr>
            <w:r>
              <w:rPr>
                <w:rFonts w:hint="default" w:ascii="Arial" w:hAnsi="Arial" w:eastAsia="Times New Roman" w:cs="Arial"/>
                <w:sz w:val="20"/>
                <w:szCs w:val="20"/>
              </w:rPr>
              <w:t>Tongue imagery (channels 13 &amp; 14)</w:t>
            </w:r>
          </w:p>
        </w:tc>
      </w:tr>
    </w:tbl>
    <w:p w14:paraId="01AF1A24">
      <w:pPr>
        <w:spacing w:before="80" w:after="200"/>
        <w:jc w:val="center"/>
        <w:rPr>
          <w:rFonts w:hint="default" w:ascii="Arial" w:hAnsi="Arial" w:cs="Arial"/>
        </w:rPr>
      </w:pPr>
      <w:r>
        <w:rPr>
          <w:rFonts w:hint="default" w:ascii="Arial" w:hAnsi="Arial" w:eastAsia="Times New Roman" w:cs="Arial"/>
          <w:i/>
          <w:iCs/>
          <w:color w:val="555555"/>
          <w:sz w:val="20"/>
          <w:szCs w:val="20"/>
        </w:rPr>
        <w:t>Table A.1: Frequency bands used in ECoG feature extraction.</w:t>
      </w:r>
    </w:p>
    <w:p w14:paraId="6FFF7B3A">
      <w:pPr>
        <w:spacing w:before="60" w:after="60"/>
        <w:rPr>
          <w:rFonts w:hint="default" w:ascii="Arial" w:hAnsi="Arial" w:cs="Arial"/>
        </w:rPr>
      </w:pPr>
    </w:p>
    <w:p w14:paraId="432F2888">
      <w:pPr>
        <w:spacing w:before="80" w:after="80" w:line="360" w:lineRule="auto"/>
        <w:ind w:firstLine="720"/>
        <w:jc w:val="both"/>
        <w:rPr>
          <w:rFonts w:hint="default" w:ascii="Arial" w:hAnsi="Arial" w:cs="Arial"/>
        </w:rPr>
      </w:pPr>
      <w:r>
        <w:rPr>
          <w:rFonts w:hint="default" w:ascii="Arial" w:hAnsi="Arial" w:eastAsia="Times New Roman" w:cs="Arial"/>
          <w:sz w:val="24"/>
          <w:szCs w:val="24"/>
        </w:rPr>
        <w:t>Features were subsequently standardized using a StandardScaler to ensure zero mean and unit variance prior to classification.</w:t>
      </w:r>
    </w:p>
    <w:p w14:paraId="0E5132D2">
      <w:pPr>
        <w:pStyle w:val="3"/>
        <w:spacing w:before="300" w:after="160"/>
        <w:rPr>
          <w:rFonts w:hint="default" w:ascii="Arial" w:hAnsi="Arial" w:eastAsia="Times New Roman" w:cs="Arial"/>
          <w:b/>
          <w:bCs/>
          <w:sz w:val="28"/>
          <w:szCs w:val="28"/>
        </w:rPr>
      </w:pPr>
    </w:p>
    <w:p w14:paraId="0E39670D">
      <w:pPr>
        <w:pStyle w:val="3"/>
        <w:spacing w:before="300" w:after="160"/>
        <w:rPr>
          <w:rFonts w:hint="default" w:ascii="Arial" w:hAnsi="Arial" w:eastAsia="Times New Roman" w:cs="Arial"/>
          <w:b/>
          <w:bCs/>
          <w:sz w:val="28"/>
          <w:szCs w:val="28"/>
        </w:rPr>
      </w:pPr>
    </w:p>
    <w:p w14:paraId="0D6207A6">
      <w:pPr>
        <w:pStyle w:val="3"/>
        <w:spacing w:before="300" w:after="160"/>
        <w:rPr>
          <w:rFonts w:hint="default" w:ascii="Arial" w:hAnsi="Arial" w:eastAsia="Times New Roman" w:cs="Arial"/>
          <w:b/>
          <w:bCs/>
          <w:sz w:val="28"/>
          <w:szCs w:val="28"/>
        </w:rPr>
      </w:pPr>
    </w:p>
    <w:p w14:paraId="3B3E4917">
      <w:pPr>
        <w:pStyle w:val="3"/>
        <w:spacing w:before="300" w:after="160"/>
        <w:rPr>
          <w:rFonts w:hint="default" w:ascii="Arial" w:hAnsi="Arial" w:eastAsia="Times New Roman" w:cs="Arial"/>
          <w:b/>
          <w:bCs/>
          <w:sz w:val="28"/>
          <w:szCs w:val="28"/>
        </w:rPr>
      </w:pPr>
    </w:p>
    <w:p w14:paraId="4538158C">
      <w:pPr>
        <w:pStyle w:val="3"/>
        <w:spacing w:before="300" w:after="160"/>
        <w:rPr>
          <w:rFonts w:hint="default" w:ascii="Arial" w:hAnsi="Arial" w:cs="Arial"/>
        </w:rPr>
      </w:pPr>
      <w:r>
        <w:rPr>
          <w:rFonts w:hint="default" w:ascii="Arial" w:hAnsi="Arial" w:eastAsia="Times New Roman" w:cs="Arial"/>
          <w:b/>
          <w:bCs/>
          <w:sz w:val="28"/>
          <w:szCs w:val="28"/>
        </w:rPr>
        <w:t>A.3 Dimensionality Reduction and Baseline Classification</w:t>
      </w:r>
    </w:p>
    <w:p w14:paraId="31BFA4A9">
      <w:pPr>
        <w:spacing w:before="80" w:after="80" w:line="360" w:lineRule="auto"/>
        <w:ind w:firstLine="720"/>
        <w:jc w:val="both"/>
        <w:rPr>
          <w:rFonts w:hint="default" w:ascii="Arial" w:hAnsi="Arial" w:cs="Arial"/>
        </w:rPr>
      </w:pPr>
      <w:r>
        <w:rPr>
          <w:rFonts w:hint="default" w:ascii="Arial" w:hAnsi="Arial" w:eastAsia="Times New Roman" w:cs="Arial"/>
          <w:sz w:val="24"/>
          <w:szCs w:val="24"/>
        </w:rPr>
        <w:t>Principal Component Analysis (PCA) was applied to the standardized feature matrix. The first two principal components captured 22.87% of the total variance. A 2D scatter plot of the transformed data revealed partial but incomplete class separation, indicating that while spectral features carry class-relevant information, linear separability is limited for six-class problems.</w:t>
      </w:r>
    </w:p>
    <w:p w14:paraId="3E73B588">
      <w:pPr>
        <w:spacing w:before="80" w:after="80" w:line="360" w:lineRule="auto"/>
        <w:ind w:firstLine="720"/>
        <w:jc w:val="both"/>
        <w:rPr>
          <w:rFonts w:hint="default" w:ascii="Arial" w:hAnsi="Arial" w:cs="Arial"/>
        </w:rPr>
      </w:pPr>
      <w:r>
        <w:rPr>
          <w:rFonts w:hint="default" w:ascii="Arial" w:hAnsi="Arial" w:eastAsia="Times New Roman" w:cs="Arial"/>
          <w:sz w:val="24"/>
          <w:szCs w:val="24"/>
        </w:rPr>
        <w:t>A multiclass logistic regression classifier was evaluated using 5-fold stratified cross-validation. The mean classification accuracy was 40.2%, substantially higher than the chance level of 16.7% for a six-class problem, confirming that the extracted features contain statistically significant discriminative information.</w:t>
      </w:r>
    </w:p>
    <w:p w14:paraId="3E4CDA51">
      <w:pPr>
        <w:pStyle w:val="3"/>
        <w:spacing w:before="300" w:after="160"/>
        <w:rPr>
          <w:rFonts w:hint="default" w:ascii="Arial" w:hAnsi="Arial" w:cs="Arial"/>
        </w:rPr>
      </w:pPr>
      <w:r>
        <w:rPr>
          <w:rFonts w:hint="default" w:ascii="Arial" w:hAnsi="Arial" w:eastAsia="Times New Roman" w:cs="Arial"/>
          <w:b/>
          <w:bCs/>
          <w:sz w:val="28"/>
          <w:szCs w:val="28"/>
        </w:rPr>
        <w:t>A.4 Feature Importance and Class Signatures</w:t>
      </w:r>
    </w:p>
    <w:p w14:paraId="65613FA5">
      <w:pPr>
        <w:spacing w:before="80" w:after="80" w:line="360" w:lineRule="auto"/>
        <w:ind w:firstLine="720"/>
        <w:jc w:val="both"/>
        <w:rPr>
          <w:rFonts w:hint="default" w:ascii="Arial" w:hAnsi="Arial" w:cs="Arial"/>
        </w:rPr>
      </w:pPr>
      <w:r>
        <w:rPr>
          <w:rFonts w:hint="default" w:ascii="Arial" w:hAnsi="Arial" w:eastAsia="Times New Roman" w:cs="Arial"/>
          <w:sz w:val="24"/>
          <w:szCs w:val="24"/>
        </w:rPr>
        <w:t>Logistic regression coefficients were analyzed to produce a global feature importance ranking. Class-specific activation signatures revealed neurophysiologically plausible patterns: right-leg imagery was strongly associated with theta-band activity in channels 9 and 10; tongue imagery was characterized by gamma-band activity in channels 13 and 14 alongside theta-band activity in channel 14; and the passive/neutral state showed elevated power in the delta and alpha bands, consistent with relaxation.</w:t>
      </w:r>
    </w:p>
    <w:p w14:paraId="6ABD842A">
      <w:pPr>
        <w:pStyle w:val="3"/>
        <w:spacing w:before="300" w:after="160"/>
        <w:rPr>
          <w:rFonts w:hint="default" w:ascii="Arial" w:hAnsi="Arial" w:cs="Arial"/>
        </w:rPr>
      </w:pPr>
      <w:r>
        <w:rPr>
          <w:rFonts w:hint="default" w:ascii="Arial" w:hAnsi="Arial" w:eastAsia="Times New Roman" w:cs="Arial"/>
          <w:b/>
          <w:bCs/>
          <w:sz w:val="28"/>
          <w:szCs w:val="28"/>
        </w:rPr>
        <w:t>A.5 Advanced Binary Classification Pipeline</w:t>
      </w:r>
    </w:p>
    <w:p w14:paraId="55931C27">
      <w:pPr>
        <w:spacing w:before="80" w:after="80" w:line="360" w:lineRule="auto"/>
        <w:ind w:firstLine="720"/>
        <w:jc w:val="both"/>
        <w:rPr>
          <w:rFonts w:hint="default" w:ascii="Arial" w:hAnsi="Arial" w:cs="Arial"/>
        </w:rPr>
      </w:pPr>
      <w:r>
        <w:rPr>
          <w:rFonts w:hint="default" w:ascii="Arial" w:hAnsi="Arial" w:eastAsia="Times New Roman" w:cs="Arial"/>
          <w:sz w:val="24"/>
          <w:szCs w:val="24"/>
        </w:rPr>
        <w:t>A second, more comprehensive pipeline was subsequently developed for binary hand-movement classification using data from the BNCI Horizon 2020 repository (Zenodo). The dataset comprised recordings from 15 subjects, each performing 10 runs, with EEG signals recorded from 61 channels at 512 Hz. A total of 1,800 trials (900 hand close, 900 hand open) were extracted.</w:t>
      </w:r>
    </w:p>
    <w:p w14:paraId="11D6980C">
      <w:pPr>
        <w:spacing w:before="80" w:after="80" w:line="360" w:lineRule="auto"/>
        <w:ind w:firstLine="720"/>
        <w:jc w:val="both"/>
        <w:rPr>
          <w:rFonts w:hint="default" w:ascii="Arial" w:hAnsi="Arial" w:cs="Arial"/>
        </w:rPr>
      </w:pPr>
      <w:r>
        <w:rPr>
          <w:rFonts w:hint="default" w:ascii="Arial" w:hAnsi="Arial" w:eastAsia="Times New Roman" w:cs="Arial"/>
          <w:sz w:val="24"/>
          <w:szCs w:val="24"/>
        </w:rPr>
        <w:t>Preprocessing followed the MNE-Python library and consisted of bandpass filtering (8–30 Hz) to retain mu and beta rhythms, notch filtering (50 Hz) to suppress power-line interference, epoching over a 3-second post-cue window (2–5 seconds), and trial balancing across runs.</w:t>
      </w:r>
    </w:p>
    <w:p w14:paraId="07AE1219">
      <w:pPr>
        <w:pStyle w:val="4"/>
        <w:spacing w:before="240" w:after="120"/>
        <w:rPr>
          <w:rFonts w:hint="default" w:ascii="Arial" w:hAnsi="Arial" w:cs="Arial"/>
        </w:rPr>
      </w:pPr>
      <w:r>
        <w:rPr>
          <w:rFonts w:hint="default" w:ascii="Arial" w:hAnsi="Arial" w:eastAsia="Times New Roman" w:cs="Arial"/>
          <w:b/>
          <w:bCs/>
          <w:sz w:val="24"/>
          <w:szCs w:val="24"/>
        </w:rPr>
        <w:t>A.5.1 Feature Engineering</w:t>
      </w:r>
    </w:p>
    <w:p w14:paraId="1733534A">
      <w:pPr>
        <w:spacing w:before="80" w:after="80" w:line="360" w:lineRule="auto"/>
        <w:ind w:firstLine="720"/>
        <w:jc w:val="both"/>
        <w:rPr>
          <w:rFonts w:hint="default" w:ascii="Arial" w:hAnsi="Arial" w:cs="Arial"/>
        </w:rPr>
      </w:pPr>
      <w:r>
        <w:rPr>
          <w:rFonts w:hint="default" w:ascii="Arial" w:hAnsi="Arial" w:eastAsia="Times New Roman" w:cs="Arial"/>
          <w:sz w:val="24"/>
          <w:szCs w:val="24"/>
        </w:rPr>
        <w:t>Two complementary feature sets were extracted. Frequency-domain features consisted of average spectral power across six bands for each of the 61 channels, yielding 366 features. Time-domain features included Mean Absolute Value (MAV), Standard Deviation (STD), and Root Mean Square (RMS) per channel, yielding an additional 183 features. The combined feature space totalled 549 features per epoch, reduced to 198 features after removing low-variance and redundant features.</w:t>
      </w:r>
    </w:p>
    <w:p w14:paraId="2E7657B6">
      <w:pPr>
        <w:pStyle w:val="4"/>
        <w:spacing w:before="240" w:after="120"/>
        <w:rPr>
          <w:rFonts w:hint="default" w:ascii="Arial" w:hAnsi="Arial" w:eastAsia="Times New Roman" w:cs="Arial"/>
          <w:b/>
          <w:bCs/>
          <w:sz w:val="24"/>
          <w:szCs w:val="24"/>
        </w:rPr>
      </w:pPr>
    </w:p>
    <w:p w14:paraId="45DCD836">
      <w:pPr>
        <w:pStyle w:val="4"/>
        <w:spacing w:before="240" w:after="120"/>
        <w:rPr>
          <w:rFonts w:hint="default" w:ascii="Arial" w:hAnsi="Arial" w:eastAsia="Times New Roman" w:cs="Arial"/>
          <w:b/>
          <w:bCs/>
          <w:sz w:val="24"/>
          <w:szCs w:val="24"/>
        </w:rPr>
      </w:pPr>
    </w:p>
    <w:p w14:paraId="200214D5">
      <w:pPr>
        <w:pStyle w:val="4"/>
        <w:spacing w:before="240" w:after="120"/>
        <w:rPr>
          <w:rFonts w:hint="default" w:ascii="Arial" w:hAnsi="Arial" w:cs="Arial"/>
        </w:rPr>
      </w:pPr>
      <w:bookmarkStart w:id="0" w:name="_GoBack"/>
      <w:bookmarkEnd w:id="0"/>
      <w:r>
        <w:rPr>
          <w:rFonts w:hint="default" w:ascii="Arial" w:hAnsi="Arial" w:eastAsia="Times New Roman" w:cs="Arial"/>
          <w:b/>
          <w:bCs/>
          <w:sz w:val="24"/>
          <w:szCs w:val="24"/>
        </w:rPr>
        <w:t>A.5.2 Data Augmentation</w:t>
      </w:r>
    </w:p>
    <w:p w14:paraId="24914DDC">
      <w:pPr>
        <w:spacing w:before="80" w:after="80" w:line="360" w:lineRule="auto"/>
        <w:ind w:firstLine="720"/>
        <w:jc w:val="both"/>
        <w:rPr>
          <w:rFonts w:hint="default" w:ascii="Arial" w:hAnsi="Arial" w:cs="Arial"/>
        </w:rPr>
      </w:pPr>
      <w:r>
        <w:rPr>
          <w:rFonts w:hint="default" w:ascii="Arial" w:hAnsi="Arial" w:eastAsia="Times New Roman" w:cs="Arial"/>
          <w:sz w:val="24"/>
          <w:szCs w:val="24"/>
        </w:rPr>
        <w:t>To mitigate overfitting, one augmented copy was generated per original trial by randomly applying one of six transformations: Gaussian noise injection (σ = 5% of signal standard deviation), amplitude scaling (α ∈ [0.9, 1.1]), time shifting (zero-padded, maximum 50 samples), time masking (10% of time points zeroed), channel dropout (10% of channels zeroed), and Mixup (weighted averaging of two trials). Augmentation doubled the dataset from 1,800 to 3,600 trials.</w:t>
      </w:r>
    </w:p>
    <w:p w14:paraId="28B04560">
      <w:pPr>
        <w:pStyle w:val="4"/>
        <w:spacing w:before="240" w:after="120"/>
        <w:rPr>
          <w:rFonts w:hint="default" w:ascii="Arial" w:hAnsi="Arial" w:cs="Arial"/>
        </w:rPr>
      </w:pPr>
      <w:r>
        <w:rPr>
          <w:rFonts w:hint="default" w:ascii="Arial" w:hAnsi="Arial" w:eastAsia="Times New Roman" w:cs="Arial"/>
          <w:b/>
          <w:bCs/>
          <w:sz w:val="24"/>
          <w:szCs w:val="24"/>
        </w:rPr>
        <w:t>A.5.3 Classification Results</w:t>
      </w:r>
    </w:p>
    <w:p w14:paraId="4EF719C2">
      <w:pPr>
        <w:spacing w:before="80" w:after="80" w:line="360" w:lineRule="auto"/>
        <w:ind w:firstLine="720"/>
        <w:jc w:val="both"/>
        <w:rPr>
          <w:rFonts w:hint="default" w:ascii="Arial" w:hAnsi="Arial" w:cs="Arial"/>
        </w:rPr>
      </w:pPr>
      <w:r>
        <w:rPr>
          <w:rFonts w:hint="default" w:ascii="Arial" w:hAnsi="Arial" w:eastAsia="Times New Roman" w:cs="Arial"/>
          <w:sz w:val="24"/>
          <w:szCs w:val="24"/>
        </w:rPr>
        <w:t>A logistic regression classifier evaluated using stratified 5-fold cross-validation achieved a mean accuracy of 42%, significantly above the 50% chance level for a binary problem. Feature importance analysis revealed that hand-close movements were most strongly associated with theta-band power in channel 18, while hand-open movements were most strongly associated with delta-band power in channel 10. These findings corroborated the neurophysiological plausibility of the extracted features and provided a solid empirical foundation for the more advanced pipeline described in the main chapters.</w:t>
      </w:r>
    </w:p>
    <w:sectPr>
      <w:pgSz w:w="11906" w:h="16838"/>
      <w:pgMar w:top="720" w:right="720" w:bottom="720" w:left="72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00FF66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400" w:after="200"/>
      <w:outlineLvl w:val="0"/>
    </w:pPr>
    <w:rPr>
      <w:rFonts w:ascii="Times New Roman" w:hAnsi="Times New Roman" w:eastAsia="Times New Roman" w:cs="Times New Roman"/>
      <w:b/>
      <w:bCs/>
      <w:color w:val="1A1A2E"/>
      <w:sz w:val="32"/>
      <w:szCs w:val="32"/>
    </w:rPr>
  </w:style>
  <w:style w:type="paragraph" w:styleId="3">
    <w:name w:val="heading 2"/>
    <w:next w:val="1"/>
    <w:qFormat/>
    <w:uiPriority w:val="0"/>
    <w:pPr>
      <w:spacing w:before="300" w:after="160"/>
      <w:outlineLvl w:val="1"/>
    </w:pPr>
    <w:rPr>
      <w:rFonts w:ascii="Times New Roman" w:hAnsi="Times New Roman" w:eastAsia="Times New Roman" w:cs="Times New Roman"/>
      <w:b/>
      <w:bCs/>
      <w:color w:val="16213E"/>
      <w:sz w:val="28"/>
      <w:szCs w:val="28"/>
    </w:rPr>
  </w:style>
  <w:style w:type="paragraph" w:styleId="4">
    <w:name w:val="heading 3"/>
    <w:next w:val="1"/>
    <w:qFormat/>
    <w:uiPriority w:val="0"/>
    <w:pPr>
      <w:spacing w:before="240" w:after="120"/>
      <w:outlineLvl w:val="2"/>
    </w:pPr>
    <w:rPr>
      <w:rFonts w:ascii="Times New Roman" w:hAnsi="Times New Roman" w:eastAsia="Times New Roman" w:cs="Times New Roman"/>
      <w:b/>
      <w:bCs/>
      <w:color w:val="0F3460"/>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1891</Words>
  <Characters>11938</Characters>
  <TotalTime>1</TotalTime>
  <ScaleCrop>false</ScaleCrop>
  <LinksUpToDate>false</LinksUpToDate>
  <CharactersWithSpaces>13740</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2026-06-10T18:38:00Z</dcterms:created>
  <dc:creator>Un-named</dc:creator>
  <cp:lastModifiedBy>WPS_1763736450</cp:lastModifiedBy>
  <dcterms:modified xsi:type="dcterms:W3CDTF">2026-06-10T18:43:28Z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eyJoZGlkIjoiMWVmOTI2YjMzY2ZkNzFhYzdkMjIzMTFkZjVhZmU5OWQiLCJ1c2VySWQiOiIxNDQ0ODk3MjEzMjE4NyJ9</vt:lpwstr>
  </property>
  <property fmtid="{D5CDD505-2E9C-101B-9397-08002B2CF9AE}" pid="3" name="KSOProductBuildVer">
    <vt:lpwstr>1033-12.1.0.26880</vt:lpwstr>
  </property>
  <property fmtid="{D5CDD505-2E9C-101B-9397-08002B2CF9AE}" pid="4" name="ICV">
    <vt:lpwstr>9DD822D6569C49B482D98CCD9C1F8937_12</vt:lpwstr>
  </property>
</Properties>
</file>