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rami.reda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Gentek.9621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