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A01414"/>
          <w:sz w:val="26"/>
        </w:rPr>
        <w:t>TÜBİTAK 2209-A ÜNİVERSİTE ÖĞRENCİLERİ ARAŞTIRMA PROJELERİ</w:t>
        <w:br/>
        <w:t>DESTEKLEME PROGRAMI</w:t>
        <w:br/>
      </w:r>
      <w:r>
        <w:rPr>
          <w:rFonts w:ascii="Calibri" w:hAnsi="Calibri"/>
          <w:b/>
          <w:color w:val="003366"/>
          <w:sz w:val="32"/>
        </w:rPr>
        <w:t>PROJE SONUÇ RAPORU</w:t>
      </w:r>
    </w:p>
    <w:p>
      <w:pPr>
        <w:spacing w:after="320"/>
        <w:jc w:val="center"/>
      </w:pPr>
      <w:r>
        <w:rPr>
          <w:rFonts w:ascii="Calibri" w:hAnsi="Calibri"/>
          <w:i/>
          <w:color w:val="505050"/>
          <w:sz w:val="22"/>
        </w:rPr>
        <w:t>İşletmelerde Çoklu Yapay Zekâ Modelleriyle Açıklanabilir Müşteri Kaybı Tahminleme</w:t>
        <w:br/>
        <w:t>ve Karar Destek Prototipinin Oluşturulması</w:t>
      </w:r>
    </w:p>
    <w:p>
      <w:r>
        <w:rPr>
          <w:rFonts w:ascii="Calibri" w:hAnsi="Calibri"/>
          <w:b/>
          <w:color w:val="003366"/>
          <w:sz w:val="23"/>
        </w:rPr>
        <w:t>GENEL BİLGİLER</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4824"/>
        <w:gridCol w:w="4824"/>
      </w:tblGrid>
      <w:tr>
        <w:tc>
          <w:tcPr>
            <w:tcW w:type="dxa" w:w="3456"/>
            <w:shd w:fill="F4F7FA"/>
            <w:tcMar>
              <w:top w:w="100" w:type="dxa"/>
              <w:bottom w:w="100" w:type="dxa"/>
              <w:left w:w="140" w:type="dxa"/>
              <w:right w:w="140" w:type="dxa"/>
            </w:tcMar>
          </w:tcPr>
          <w:p>
            <w:pPr>
              <w:spacing w:before="40" w:after="40"/>
            </w:pPr>
            <w:r>
              <w:rPr>
                <w:rFonts w:ascii="Calibri" w:hAnsi="Calibri"/>
                <w:b/>
                <w:color w:val="003366"/>
                <w:sz w:val="19"/>
              </w:rPr>
              <w:t>PROJENİN KONUSU</w:t>
            </w:r>
          </w:p>
        </w:tc>
        <w:tc>
          <w:tcPr>
            <w:tcW w:type="dxa" w:w="6192"/>
            <w:shd w:fill="FFFFFF"/>
            <w:tcMar>
              <w:top w:w="100" w:type="dxa"/>
              <w:bottom w:w="100" w:type="dxa"/>
              <w:left w:w="140" w:type="dxa"/>
              <w:right w:w="140" w:type="dxa"/>
            </w:tcMar>
          </w:tcPr>
          <w:p>
            <w:pPr>
              <w:spacing w:before="40" w:after="40"/>
            </w:pPr>
            <w:r>
              <w:rPr>
                <w:rFonts w:ascii="Calibri" w:hAnsi="Calibri"/>
                <w:sz w:val="19"/>
              </w:rPr>
              <w:t>İşletmelerde Çoklu Yapay Zekâ Modelleriyle Açıklanabilir Müşteri Kaybı Tahminleme ve Karar Destek Prototipinin Oluşturulması</w:t>
            </w:r>
          </w:p>
        </w:tc>
      </w:tr>
      <w:tr>
        <w:tc>
          <w:tcPr>
            <w:tcW w:type="dxa" w:w="3456"/>
            <w:shd w:fill="F4F7FA"/>
            <w:tcMar>
              <w:top w:w="100" w:type="dxa"/>
              <w:bottom w:w="100" w:type="dxa"/>
              <w:left w:w="140" w:type="dxa"/>
              <w:right w:w="140" w:type="dxa"/>
            </w:tcMar>
          </w:tcPr>
          <w:p>
            <w:pPr>
              <w:spacing w:before="40" w:after="40"/>
            </w:pPr>
            <w:r>
              <w:rPr>
                <w:rFonts w:ascii="Calibri" w:hAnsi="Calibri"/>
                <w:b/>
                <w:color w:val="003366"/>
                <w:sz w:val="19"/>
              </w:rPr>
              <w:t>PROJE YÜRÜTÜCÜSÜ</w:t>
            </w:r>
          </w:p>
        </w:tc>
        <w:tc>
          <w:tcPr>
            <w:tcW w:type="dxa" w:w="6192"/>
            <w:shd w:fill="FAFCFF"/>
            <w:tcMar>
              <w:top w:w="100" w:type="dxa"/>
              <w:bottom w:w="100" w:type="dxa"/>
              <w:left w:w="140" w:type="dxa"/>
              <w:right w:w="140" w:type="dxa"/>
            </w:tcMar>
          </w:tcPr>
          <w:p>
            <w:pPr>
              <w:spacing w:before="40" w:after="40"/>
            </w:pPr>
            <w:r>
              <w:rPr>
                <w:rFonts w:ascii="Calibri" w:hAnsi="Calibri"/>
                <w:sz w:val="19"/>
              </w:rPr>
              <w:t>Ahmet GÜN (Fırat Üniversitesi)</w:t>
            </w:r>
          </w:p>
        </w:tc>
      </w:tr>
      <w:tr>
        <w:tc>
          <w:tcPr>
            <w:tcW w:type="dxa" w:w="3456"/>
            <w:shd w:fill="F4F7FA"/>
            <w:tcMar>
              <w:top w:w="100" w:type="dxa"/>
              <w:bottom w:w="100" w:type="dxa"/>
              <w:left w:w="140" w:type="dxa"/>
              <w:right w:w="140" w:type="dxa"/>
            </w:tcMar>
          </w:tcPr>
          <w:p>
            <w:pPr>
              <w:spacing w:before="40" w:after="40"/>
            </w:pPr>
            <w:r>
              <w:rPr>
                <w:rFonts w:ascii="Calibri" w:hAnsi="Calibri"/>
                <w:b/>
                <w:color w:val="003366"/>
                <w:sz w:val="19"/>
              </w:rPr>
              <w:t>PROJE EKİBİ / ARAŞTIRMACILAR</w:t>
            </w:r>
          </w:p>
        </w:tc>
        <w:tc>
          <w:tcPr>
            <w:tcW w:type="dxa" w:w="6192"/>
            <w:shd w:fill="FFFFFF"/>
            <w:tcMar>
              <w:top w:w="100" w:type="dxa"/>
              <w:bottom w:w="100" w:type="dxa"/>
              <w:left w:w="140" w:type="dxa"/>
              <w:right w:w="140" w:type="dxa"/>
            </w:tcMar>
          </w:tcPr>
          <w:p>
            <w:pPr>
              <w:spacing w:before="40" w:after="40"/>
            </w:pPr>
            <w:r>
              <w:rPr>
                <w:rFonts w:ascii="Calibri" w:hAnsi="Calibri"/>
                <w:sz w:val="19"/>
              </w:rPr>
              <w:t>Ahmet GÜN, Yusuf ALATAŞ, Gülsüm ÇELİK, Sefa ŞAHİN</w:t>
            </w:r>
          </w:p>
        </w:tc>
      </w:tr>
      <w:tr>
        <w:tc>
          <w:tcPr>
            <w:tcW w:type="dxa" w:w="3456"/>
            <w:shd w:fill="F4F7FA"/>
            <w:tcMar>
              <w:top w:w="100" w:type="dxa"/>
              <w:bottom w:w="100" w:type="dxa"/>
              <w:left w:w="140" w:type="dxa"/>
              <w:right w:w="140" w:type="dxa"/>
            </w:tcMar>
          </w:tcPr>
          <w:p>
            <w:pPr>
              <w:spacing w:before="40" w:after="40"/>
            </w:pPr>
            <w:r>
              <w:rPr>
                <w:rFonts w:ascii="Calibri" w:hAnsi="Calibri"/>
                <w:b/>
                <w:color w:val="003366"/>
                <w:sz w:val="19"/>
              </w:rPr>
              <w:t>DANIŞMANIN ADI</w:t>
            </w:r>
          </w:p>
        </w:tc>
        <w:tc>
          <w:tcPr>
            <w:tcW w:type="dxa" w:w="6192"/>
            <w:shd w:fill="FAFCFF"/>
            <w:tcMar>
              <w:top w:w="100" w:type="dxa"/>
              <w:bottom w:w="100" w:type="dxa"/>
              <w:left w:w="140" w:type="dxa"/>
              <w:right w:w="140" w:type="dxa"/>
            </w:tcMar>
          </w:tcPr>
          <w:p>
            <w:pPr>
              <w:spacing w:before="40" w:after="40"/>
            </w:pPr>
            <w:r>
              <w:rPr>
                <w:rFonts w:ascii="Calibri" w:hAnsi="Calibri"/>
                <w:sz w:val="19"/>
              </w:rPr>
              <w:t>Doç. Dr. Yeşim ÜLGEN SÖNMEZ (Fırat Üniversitesi)</w:t>
            </w:r>
          </w:p>
        </w:tc>
      </w:tr>
      <w:tr>
        <w:tc>
          <w:tcPr>
            <w:tcW w:type="dxa" w:w="3456"/>
            <w:shd w:fill="F4F7FA"/>
            <w:tcMar>
              <w:top w:w="100" w:type="dxa"/>
              <w:bottom w:w="100" w:type="dxa"/>
              <w:left w:w="140" w:type="dxa"/>
              <w:right w:w="140" w:type="dxa"/>
            </w:tcMar>
          </w:tcPr>
          <w:p>
            <w:pPr>
              <w:spacing w:before="40" w:after="40"/>
            </w:pPr>
            <w:r>
              <w:rPr>
                <w:rFonts w:ascii="Calibri" w:hAnsi="Calibri"/>
                <w:b/>
                <w:color w:val="003366"/>
                <w:sz w:val="19"/>
              </w:rPr>
              <w:t>PROJE BAŞLANGIÇ VE BİTİŞ TARİHLERİ</w:t>
            </w:r>
          </w:p>
        </w:tc>
        <w:tc>
          <w:tcPr>
            <w:tcW w:type="dxa" w:w="6192"/>
            <w:shd w:fill="FFFFFF"/>
            <w:tcMar>
              <w:top w:w="100" w:type="dxa"/>
              <w:bottom w:w="100" w:type="dxa"/>
              <w:left w:w="140" w:type="dxa"/>
              <w:right w:w="140" w:type="dxa"/>
            </w:tcMar>
          </w:tcPr>
          <w:p>
            <w:pPr>
              <w:spacing w:before="40" w:after="40"/>
            </w:pPr>
            <w:r>
              <w:rPr>
                <w:rFonts w:ascii="Calibri" w:hAnsi="Calibri"/>
                <w:sz w:val="19"/>
              </w:rPr>
              <w:t>01.04.2026 – 31.03.2027 (12 Ay / 1 Yıl)</w:t>
            </w:r>
          </w:p>
        </w:tc>
      </w:tr>
    </w:tbl>
    <w:p>
      <w:pPr>
        <w:spacing w:after="200"/>
      </w:pPr>
    </w:p>
    <w:p>
      <w:pPr>
        <w:keepNext/>
        <w:spacing w:before="280" w:after="80"/>
      </w:pPr>
      <w:r>
        <w:rPr>
          <w:rFonts w:ascii="Calibri" w:hAnsi="Calibri"/>
          <w:b/>
          <w:color w:val="003366"/>
          <w:sz w:val="26"/>
        </w:rPr>
        <w:t>1. Giriş</w:t>
      </w:r>
    </w:p>
    <w:p>
      <w:pPr>
        <w:keepNext/>
        <w:spacing w:before="200" w:after="60"/>
      </w:pPr>
      <w:r>
        <w:rPr>
          <w:rFonts w:ascii="Calibri" w:hAnsi="Calibri"/>
          <w:b/>
          <w:color w:val="1E4678"/>
          <w:sz w:val="22"/>
        </w:rPr>
        <w:t>1.1. Proje Konusu, Kapsamı ve Önemi</w:t>
      </w:r>
    </w:p>
    <w:p>
      <w:pPr>
        <w:spacing w:line="276" w:lineRule="auto" w:after="100"/>
        <w:ind w:firstLine="360"/>
      </w:pPr>
      <w:r>
        <w:rPr>
          <w:rFonts w:ascii="Calibri" w:hAnsi="Calibri"/>
          <w:sz w:val="20"/>
        </w:rPr>
        <w:t>Dijitalleşmenin ve küresel pazar rekabetinin arttığı günümüz iş dünyasında, işletmelerin mevcut müşteri tabanını koruması en kritik stratejik önceliklerden biridir. Özellikle telekomünikasyon sektöründe yeni bir müşteri kazanma maliyeti (Customer Acquisition Cost - CAC), mevcut bir müşteriyi elde tutma maliyetinden (Retention Cost) yaklaşık 5 ila 6 kat daha yüksektir [1]. Müşteri kaybı (churn) yalnızca doğrudan ciro kaybına yol açmamakta, aynı zamanda pazar payının daralmasına ve marka sadakatinin zedelenmesine neden olmaktadır [2]. Bu nedenle müşteri ayrılma davranışının önceden proaktif bir yaklaşımla tespit edilmesi işletmelerin finansal sürdürülebilirliği açısından hayati bir gerekliliktir.</w:t>
      </w:r>
    </w:p>
    <w:p>
      <w:pPr>
        <w:spacing w:line="276" w:lineRule="auto" w:after="100"/>
        <w:ind w:firstLine="360"/>
      </w:pPr>
      <w:r>
        <w:rPr>
          <w:rFonts w:ascii="Calibri" w:hAnsi="Calibri"/>
          <w:sz w:val="20"/>
        </w:rPr>
        <w:t>Geleneksel makine öğrenmesi uygulamaları churn tahmininde genellikle yalnızca doğruluk (Accuracy) oranlarına odaklanmakta, ancak modellerin "kara kutu" (black-box) doğası gereği tahminlerin ardındaki nedenselliği açıklayamamaktadır [3, 4]. Sadece "hangi müşteri gidecek?" sorusuna odaklanıp "neden gidecek?" ve "hangi aksiyon alınmalı?" sorularını cevapsız bırakan sistemler yöneticiler için sınırlı değer taşımaktadır. Bu projenin temel amacı; telekomünikasyon sektöründeki müşteri verileri üzerinde hem klasik makine öğrenmesi (Lojistik Regresyon, KNN, SVM, Random Forest, XGBoost) hem de derin öğrenme (Çok Katmanlı Algılayıcı - MLP) mimarilerini eğitmek, modelleri kapsamlı metriklerle kıyaslamak, Açıklanabilir Yapay Zekâ (XAI - SHAP) yöntemiyle tahmin gerekçelerini şeffaf hale getirmek ve yöneticilerin kullanımına sunulan interaktif bir Streamlit karar destek prototipi geliştirmektir.</w:t>
      </w:r>
    </w:p>
    <w:p>
      <w:pPr>
        <w:keepNext/>
        <w:spacing w:before="200" w:after="60"/>
      </w:pPr>
      <w:r>
        <w:rPr>
          <w:rFonts w:ascii="Calibri" w:hAnsi="Calibri"/>
          <w:b/>
          <w:color w:val="1E4678"/>
          <w:sz w:val="22"/>
        </w:rPr>
        <w:t>1.2. Bilimsel Nitelik ve Özgün Değer</w:t>
      </w:r>
    </w:p>
    <w:p>
      <w:pPr>
        <w:spacing w:line="276" w:lineRule="auto" w:after="100"/>
        <w:ind w:firstLine="360"/>
      </w:pPr>
      <w:r>
        <w:rPr>
          <w:rFonts w:ascii="Calibri" w:hAnsi="Calibri"/>
          <w:sz w:val="20"/>
        </w:rPr>
        <w:t>Literatürdeki çalışmaların büyük bölümü tek bir algoritma üzerinde durmakta ya da derin öğrenme ile klasik modelleri açıklanabilirlik bağlamında yan yana koymamaktadır [6, 7, 8]. Bu projenin özgün değeri; 5 farklı klasik makine öğrenmesi algoritması ile 3 katmanlı MLP derin öğrenme mimarisini adil bir deneysel tasarım altında karşılaştırmasıdır. Bunun yanı sıra işbirlikçi oyun teorisine dayanan SHAP (Shapley Additive exPlanations) yöntemi kullanılarak hem ağaç tabanlı Klasik Şampiyon (Random Forest) hem de derin sinir ağı mimarisinin karar mekanizmaları ilk kez tekil müşteri ve küresel özellik düzeyinde açıklanmış, hangi modelin iş kararlarına daha kolay dönüştürülebilir çıktılar ürettiği deneysel olarak ispatlanmıştır [9, 10].</w:t>
      </w:r>
    </w:p>
    <w:p>
      <w:pPr>
        <w:keepNext/>
        <w:spacing w:before="280" w:after="80"/>
      </w:pPr>
      <w:r>
        <w:rPr>
          <w:rFonts w:ascii="Calibri" w:hAnsi="Calibri"/>
          <w:b/>
          <w:color w:val="003366"/>
          <w:sz w:val="26"/>
        </w:rPr>
        <w:t>2. Rapor Dönemlerinde Yapılan Çalışmalar ve Karşılaşılan Sorunlar</w:t>
      </w:r>
    </w:p>
    <w:p>
      <w:pPr>
        <w:spacing w:line="276" w:lineRule="auto" w:after="100"/>
        <w:ind w:firstLine="360"/>
      </w:pPr>
      <w:r>
        <w:rPr>
          <w:rFonts w:ascii="Calibri" w:hAnsi="Calibri"/>
          <w:sz w:val="20"/>
        </w:rPr>
        <w:t>Proje öneri formundaki 12 aylık çalışma takvimi eksiksiz olarak tamamlanmıştır. Dönemler bazında yürütülen çalışmalar, karşılaşılan teknik zorluklar ve geliştirilen çözümler aşağıda sunulmuştur:</w:t>
      </w:r>
    </w:p>
    <w:p>
      <w:pPr>
        <w:spacing w:line="276" w:lineRule="auto" w:after="100"/>
        <w:ind w:firstLine="360"/>
      </w:pPr>
      <w:r>
        <w:rPr>
          <w:rFonts w:ascii="Calibri" w:hAnsi="Calibri"/>
          <w:b/>
          <w:sz w:val="20"/>
        </w:rPr>
        <w:t xml:space="preserve">Dönem 1 (01/04/2026 – 30/04/2026): Ortam Hazırlığı ve Kütüphaneler: </w:t>
      </w:r>
      <w:r>
        <w:rPr>
          <w:rFonts w:ascii="Calibri" w:hAnsi="Calibri"/>
          <w:sz w:val="20"/>
        </w:rPr>
        <w:t>Python çalışma ortamı yapılandırılmış; scikit-learn, xgboost, shap, streamlit, imbalanced-learn, plotly ve pandas kütüphaneleri versiyon kilitleriyle yüklenerek reproducibility (tekrarlanabilirlik) güvence altına alınmıştır.</w:t>
      </w:r>
    </w:p>
    <w:p>
      <w:pPr>
        <w:spacing w:line="276" w:lineRule="auto" w:after="100"/>
        <w:ind w:firstLine="360"/>
      </w:pPr>
      <w:r>
        <w:rPr>
          <w:rFonts w:ascii="Calibri" w:hAnsi="Calibri"/>
          <w:b/>
          <w:sz w:val="20"/>
        </w:rPr>
        <w:t xml:space="preserve">Dönem 2 (01/05/2026 – 31/05/2026): Veri Setinin Temini ve Keşifsel Veri Analizi (EDA): </w:t>
      </w:r>
      <w:r>
        <w:rPr>
          <w:rFonts w:ascii="Calibri" w:hAnsi="Calibri"/>
          <w:sz w:val="20"/>
        </w:rPr>
        <w:t>Kaggle Telco Customer Churn veri seti (7.043 satır, 21 sütun) temin edilmiş; demografik özellikler, sözleşme tipleri, aylık faturalar, ek hizmetler ve churn sınıf dağılımı (%26.5 churn, %73.5 sadık müşteri) analiz edilmiştir.</w:t>
      </w:r>
    </w:p>
    <w:p>
      <w:pPr>
        <w:spacing w:line="276" w:lineRule="auto" w:after="100"/>
        <w:ind w:firstLine="360"/>
      </w:pPr>
      <w:r>
        <w:rPr>
          <w:rFonts w:ascii="Calibri" w:hAnsi="Calibri"/>
          <w:b/>
          <w:sz w:val="20"/>
        </w:rPr>
        <w:t xml:space="preserve">Dönem 3 (01/06/2026 – 31/07/2026): Veri Ön İşleme, Kodlama ve SMOTE Dengeleme: </w:t>
      </w:r>
      <w:r>
        <w:rPr>
          <w:rFonts w:ascii="Calibri" w:hAnsi="Calibri"/>
          <w:sz w:val="20"/>
        </w:rPr>
        <w:t>İkili değişkenler 0/1 formuna dönüştürülmüş, 'StreamingTV' ve 'StreamingMovies' sütunları birleştirilerek tekil 'Streaming' göstergesi üretilmiştir. Çok kategorili sütunlar One-Hot Encoding ile dönüştürülürken kukla değişken tuzağını önlemek için drop_first=True seçilmiştir. Veri sızıntısını önlemek için StandardScaler sadece %80'lik eğitim setine fit edilmiş, dengesizlik sorunu eğitim setinde SMOTE ile dengelenmiştir.</w:t>
      </w:r>
    </w:p>
    <w:p>
      <w:pPr>
        <w:spacing w:line="276" w:lineRule="auto" w:after="100"/>
        <w:ind w:firstLine="360"/>
      </w:pPr>
      <w:r>
        <w:rPr>
          <w:rFonts w:ascii="Calibri" w:hAnsi="Calibri"/>
          <w:b/>
          <w:sz w:val="20"/>
        </w:rPr>
        <w:t xml:space="preserve">Dönem 4 (01/08/2026 – 30/09/2026): Klasik Makine Öğrenmesi Modellerinin Eğitimi ve Şampiyon Model Seçimi: </w:t>
      </w:r>
      <w:r>
        <w:rPr>
          <w:rFonts w:ascii="Calibri" w:hAnsi="Calibri"/>
          <w:sz w:val="20"/>
        </w:rPr>
        <w:t>Lojistik Regresyon, KNN, SVM, Random Forest ve XGBoost modelleri eğitilmiş; Accuracy, Precision, Recall, F1 ve AUC metrikleriyle test edilmiştir. En yüksek doğruluk (%76.76) ve en yüksek kesinliği (%55.53) sunan Random Forest projenin 'Klasik Şampiyonu' olarak tescil edilmiştir.</w:t>
      </w:r>
    </w:p>
    <w:p>
      <w:pPr>
        <w:spacing w:line="276" w:lineRule="auto" w:after="100"/>
        <w:ind w:firstLine="360"/>
      </w:pPr>
      <w:r>
        <w:rPr>
          <w:rFonts w:ascii="Calibri" w:hAnsi="Calibri"/>
          <w:b/>
          <w:sz w:val="20"/>
        </w:rPr>
        <w:t xml:space="preserve">Dönem 5 (01/10/2026 – 30/11/2026): Derin Öğrenme Modelinin (MLP) Kurulması ve Eğitimi: </w:t>
      </w:r>
      <w:r>
        <w:rPr>
          <w:rFonts w:ascii="Calibri" w:hAnsi="Calibri"/>
          <w:sz w:val="20"/>
        </w:rPr>
        <w:t>128-64-32 gizli katmanlı Çok Katmanlı Algılayıcı (MLP) mimarisi kurulmuş ve eğitilmiştir. Tabular verilerde topluluk ağaçlarının (Random Forest) derin öğrenmeye göre daha yüksek doğruluk ve genelleme sunduğu ampirik olarak doğrulanmıştır.</w:t>
      </w:r>
    </w:p>
    <w:p>
      <w:pPr>
        <w:spacing w:line="276" w:lineRule="auto" w:after="100"/>
        <w:ind w:firstLine="360"/>
      </w:pPr>
      <w:r>
        <w:rPr>
          <w:rFonts w:ascii="Calibri" w:hAnsi="Calibri"/>
          <w:b/>
          <w:sz w:val="20"/>
        </w:rPr>
        <w:t xml:space="preserve">Dönem 6 (01/12/2026 – 31/01/2027): SHAP ile Açıklanabilirlik Analizi (XAI): </w:t>
      </w:r>
      <w:r>
        <w:rPr>
          <w:rFonts w:ascii="Calibri" w:hAnsi="Calibri"/>
          <w:sz w:val="20"/>
        </w:rPr>
        <w:t>Random Forest için TreeExplainer, MLP için Explainer algoritmalarıyla küresel (global) öznitelik önem sıralamaları ve tekil (local) müşteri bazlı şelale (waterfall) katkı değerleri hesaplanmıştır.</w:t>
      </w:r>
    </w:p>
    <w:p>
      <w:pPr>
        <w:spacing w:line="276" w:lineRule="auto" w:after="100"/>
        <w:ind w:firstLine="360"/>
      </w:pPr>
      <w:r>
        <w:rPr>
          <w:rFonts w:ascii="Calibri" w:hAnsi="Calibri"/>
          <w:b/>
          <w:sz w:val="20"/>
        </w:rPr>
        <w:t xml:space="preserve">Dönem 7 (01/02/2027 – 31/03/2027): Streamlit Tabanlı Karar Destek Prototipinin Geliştirilmesi ve Entegrasyon: </w:t>
      </w:r>
      <w:r>
        <w:rPr>
          <w:rFonts w:ascii="Calibri" w:hAnsi="Calibri"/>
          <w:sz w:val="20"/>
        </w:rPr>
        <w:t>5 modüllü interaktif karar destek arayüzü kodlanmış; modeller, scaler ve SHAP nesneleri arayüze entegre edilmiştir. Pandas sürüm uyumsuzlukları dinamik yamalarla çözülerek sistem stabil biçimde yayına alınmıştır.</w:t>
      </w:r>
    </w:p>
    <w:p>
      <w:pPr>
        <w:spacing w:before="160" w:after="60"/>
      </w:pPr>
      <w:r>
        <w:rPr>
          <w:rFonts w:ascii="Calibri" w:hAnsi="Calibri"/>
          <w:b/>
          <w:color w:val="003366"/>
          <w:sz w:val="20"/>
        </w:rPr>
        <w:t>Tablo 1. Veri Analizi, Model Eğitimi ve Arayüz Geliştirme Sürecinde Karşılaşılan Teknik Sorunlar ve Geliştirilen Çözümler</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3216"/>
        <w:gridCol w:w="3216"/>
        <w:gridCol w:w="3216"/>
      </w:tblGrid>
      <w:tr>
        <w:tc>
          <w:tcPr>
            <w:tcW w:type="dxa" w:w="2592"/>
            <w:shd w:fill="003366"/>
            <w:tcMar>
              <w:top w:w="100" w:type="dxa"/>
              <w:bottom w:w="100" w:type="dxa"/>
              <w:left w:w="120" w:type="dxa"/>
              <w:right w:w="120" w:type="dxa"/>
            </w:tcMar>
          </w:tcPr>
          <w:p>
            <w:pPr>
              <w:jc w:val="center"/>
            </w:pPr>
            <w:r>
              <w:rPr>
                <w:rFonts w:ascii="Calibri" w:hAnsi="Calibri"/>
                <w:b/>
                <w:color w:val="FFFFFF"/>
                <w:sz w:val="19"/>
              </w:rPr>
              <w:t>Aşama / Konu</w:t>
            </w:r>
          </w:p>
        </w:tc>
        <w:tc>
          <w:tcPr>
            <w:tcW w:type="dxa" w:w="3456"/>
            <w:shd w:fill="003366"/>
            <w:tcMar>
              <w:top w:w="100" w:type="dxa"/>
              <w:bottom w:w="100" w:type="dxa"/>
              <w:left w:w="120" w:type="dxa"/>
              <w:right w:w="120" w:type="dxa"/>
            </w:tcMar>
          </w:tcPr>
          <w:p>
            <w:pPr>
              <w:jc w:val="center"/>
            </w:pPr>
            <w:r>
              <w:rPr>
                <w:rFonts w:ascii="Calibri" w:hAnsi="Calibri"/>
                <w:b/>
                <w:color w:val="FFFFFF"/>
                <w:sz w:val="19"/>
              </w:rPr>
              <w:t>Karşılaşılan Teknik Problem / Risk</w:t>
            </w:r>
          </w:p>
        </w:tc>
        <w:tc>
          <w:tcPr>
            <w:tcW w:type="dxa" w:w="3600"/>
            <w:shd w:fill="003366"/>
            <w:tcMar>
              <w:top w:w="100" w:type="dxa"/>
              <w:bottom w:w="100" w:type="dxa"/>
              <w:left w:w="120" w:type="dxa"/>
              <w:right w:w="120" w:type="dxa"/>
            </w:tcMar>
          </w:tcPr>
          <w:p>
            <w:pPr>
              <w:jc w:val="center"/>
            </w:pPr>
            <w:r>
              <w:rPr>
                <w:rFonts w:ascii="Calibri" w:hAnsi="Calibri"/>
                <w:b/>
                <w:color w:val="FFFFFF"/>
                <w:sz w:val="19"/>
              </w:rPr>
              <w:t>Geliştirilen Mühendislik Çözümü ve Gerekçesi</w:t>
            </w:r>
          </w:p>
        </w:tc>
      </w:tr>
      <w:tr>
        <w:tc>
          <w:tcPr>
            <w:tcW w:type="dxa" w:w="2592"/>
            <w:shd w:fill="FFFFFF"/>
            <w:tcMar>
              <w:top w:w="80" w:type="dxa"/>
              <w:bottom w:w="80" w:type="dxa"/>
              <w:left w:w="100" w:type="dxa"/>
              <w:right w:w="100" w:type="dxa"/>
            </w:tcMar>
          </w:tcPr>
          <w:p>
            <w:pPr>
              <w:jc w:val="left"/>
            </w:pPr>
            <w:r>
              <w:rPr>
                <w:rFonts w:ascii="Calibri" w:hAnsi="Calibri"/>
                <w:b/>
                <w:sz w:val="17"/>
              </w:rPr>
              <w:t>TotalCharges Veri Tipi ve Gizli Boşluklar</w:t>
            </w:r>
          </w:p>
        </w:tc>
        <w:tc>
          <w:tcPr>
            <w:tcW w:type="dxa" w:w="3456"/>
            <w:shd w:fill="FFFFFF"/>
            <w:tcMar>
              <w:top w:w="80" w:type="dxa"/>
              <w:bottom w:w="80" w:type="dxa"/>
              <w:left w:w="100" w:type="dxa"/>
              <w:right w:w="100" w:type="dxa"/>
            </w:tcMar>
          </w:tcPr>
          <w:p>
            <w:pPr>
              <w:jc w:val="left"/>
            </w:pPr>
            <w:r>
              <w:rPr>
                <w:rFonts w:ascii="Calibri" w:hAnsi="Calibri"/>
                <w:sz w:val="17"/>
              </w:rPr>
              <w:t>Sayısal olması gereken TotalCharges sütununda yeni aboneler için boşluk karakteri (' ') bulunması ve sütunun object tipinde kalması.</w:t>
            </w:r>
          </w:p>
        </w:tc>
        <w:tc>
          <w:tcPr>
            <w:tcW w:type="dxa" w:w="3600"/>
            <w:shd w:fill="FFFFFF"/>
            <w:tcMar>
              <w:top w:w="80" w:type="dxa"/>
              <w:bottom w:w="80" w:type="dxa"/>
              <w:left w:w="100" w:type="dxa"/>
              <w:right w:w="100" w:type="dxa"/>
            </w:tcMar>
          </w:tcPr>
          <w:p>
            <w:pPr>
              <w:jc w:val="left"/>
            </w:pPr>
            <w:r>
              <w:rPr>
                <w:rFonts w:ascii="Calibri" w:hAnsi="Calibri"/>
                <w:sz w:val="17"/>
              </w:rPr>
              <w:t>pd.to_numeric(errors='coerce') ile float tipine çevrilmiş, üretilen 11 NaN kayıt veri bütünlüğü için silinmiştir.</w:t>
            </w:r>
          </w:p>
        </w:tc>
      </w:tr>
      <w:tr>
        <w:tc>
          <w:tcPr>
            <w:tcW w:type="dxa" w:w="2592"/>
            <w:shd w:fill="F9FBFD"/>
            <w:tcMar>
              <w:top w:w="80" w:type="dxa"/>
              <w:bottom w:w="80" w:type="dxa"/>
              <w:left w:w="100" w:type="dxa"/>
              <w:right w:w="100" w:type="dxa"/>
            </w:tcMar>
          </w:tcPr>
          <w:p>
            <w:pPr>
              <w:jc w:val="left"/>
            </w:pPr>
            <w:r>
              <w:rPr>
                <w:rFonts w:ascii="Calibri" w:hAnsi="Calibri"/>
                <w:b/>
                <w:sz w:val="17"/>
              </w:rPr>
              <w:t>One-Hot Encoding ve Kukla Değişken Tuzağı</w:t>
            </w:r>
          </w:p>
        </w:tc>
        <w:tc>
          <w:tcPr>
            <w:tcW w:type="dxa" w:w="3456"/>
            <w:shd w:fill="F9FBFD"/>
            <w:tcMar>
              <w:top w:w="80" w:type="dxa"/>
              <w:bottom w:w="80" w:type="dxa"/>
              <w:left w:w="100" w:type="dxa"/>
              <w:right w:w="100" w:type="dxa"/>
            </w:tcMar>
          </w:tcPr>
          <w:p>
            <w:pPr>
              <w:jc w:val="left"/>
            </w:pPr>
            <w:r>
              <w:rPr>
                <w:rFonts w:ascii="Calibri" w:hAnsi="Calibri"/>
                <w:sz w:val="17"/>
              </w:rPr>
              <w:t>Çok kategorili değişkenlerin (InternetService, Contract, PaymentMethod) kodlanmasında çoklu doğrusallık (multicollinearity) riski.</w:t>
            </w:r>
          </w:p>
        </w:tc>
        <w:tc>
          <w:tcPr>
            <w:tcW w:type="dxa" w:w="3600"/>
            <w:shd w:fill="F9FBFD"/>
            <w:tcMar>
              <w:top w:w="80" w:type="dxa"/>
              <w:bottom w:w="80" w:type="dxa"/>
              <w:left w:w="100" w:type="dxa"/>
              <w:right w:w="100" w:type="dxa"/>
            </w:tcMar>
          </w:tcPr>
          <w:p>
            <w:pPr>
              <w:jc w:val="left"/>
            </w:pPr>
            <w:r>
              <w:rPr>
                <w:rFonts w:ascii="Calibri" w:hAnsi="Calibri"/>
                <w:sz w:val="17"/>
              </w:rPr>
              <w:t>Kukla değişken tuzağını (Dummy Variable Trap) önlemek için drop_first=True seçilmiş, gereksiz öznitelik şişmesi engellenerek 21 özniteliğe ulaşılmıştır.</w:t>
            </w:r>
          </w:p>
        </w:tc>
      </w:tr>
      <w:tr>
        <w:tc>
          <w:tcPr>
            <w:tcW w:type="dxa" w:w="2592"/>
            <w:shd w:fill="FFFFFF"/>
            <w:tcMar>
              <w:top w:w="80" w:type="dxa"/>
              <w:bottom w:w="80" w:type="dxa"/>
              <w:left w:w="100" w:type="dxa"/>
              <w:right w:w="100" w:type="dxa"/>
            </w:tcMar>
          </w:tcPr>
          <w:p>
            <w:pPr>
              <w:jc w:val="left"/>
            </w:pPr>
            <w:r>
              <w:rPr>
                <w:rFonts w:ascii="Calibri" w:hAnsi="Calibri"/>
                <w:b/>
                <w:sz w:val="17"/>
              </w:rPr>
              <w:t>Veri Sızıntısı (Data Leakage) Önleme</w:t>
            </w:r>
          </w:p>
        </w:tc>
        <w:tc>
          <w:tcPr>
            <w:tcW w:type="dxa" w:w="3456"/>
            <w:shd w:fill="FFFFFF"/>
            <w:tcMar>
              <w:top w:w="80" w:type="dxa"/>
              <w:bottom w:w="80" w:type="dxa"/>
              <w:left w:w="100" w:type="dxa"/>
              <w:right w:w="100" w:type="dxa"/>
            </w:tcMar>
          </w:tcPr>
          <w:p>
            <w:pPr>
              <w:jc w:val="left"/>
            </w:pPr>
            <w:r>
              <w:rPr>
                <w:rFonts w:ascii="Calibri" w:hAnsi="Calibri"/>
                <w:sz w:val="17"/>
              </w:rPr>
              <w:t>Ölçekleme (StandardScaler) işleminin tüm veriye uygulanması durumunda test verisi bilgisinin eğitime sızma riski.</w:t>
            </w:r>
          </w:p>
        </w:tc>
        <w:tc>
          <w:tcPr>
            <w:tcW w:type="dxa" w:w="3600"/>
            <w:shd w:fill="FFFFFF"/>
            <w:tcMar>
              <w:top w:w="80" w:type="dxa"/>
              <w:bottom w:w="80" w:type="dxa"/>
              <w:left w:w="100" w:type="dxa"/>
              <w:right w:w="100" w:type="dxa"/>
            </w:tcMar>
          </w:tcPr>
          <w:p>
            <w:pPr>
              <w:jc w:val="left"/>
            </w:pPr>
            <w:r>
              <w:rPr>
                <w:rFonts w:ascii="Calibri" w:hAnsi="Calibri"/>
                <w:sz w:val="17"/>
              </w:rPr>
              <w:t>Scaler sadece %80'lik X_train setine fit edilmiş; test seti (X_test) sadece eğitim parametreleriyle transform edilmiştir.</w:t>
            </w:r>
          </w:p>
        </w:tc>
      </w:tr>
      <w:tr>
        <w:tc>
          <w:tcPr>
            <w:tcW w:type="dxa" w:w="2592"/>
            <w:shd w:fill="F9FBFD"/>
            <w:tcMar>
              <w:top w:w="80" w:type="dxa"/>
              <w:bottom w:w="80" w:type="dxa"/>
              <w:left w:w="100" w:type="dxa"/>
              <w:right w:w="100" w:type="dxa"/>
            </w:tcMar>
          </w:tcPr>
          <w:p>
            <w:pPr>
              <w:jc w:val="left"/>
            </w:pPr>
            <w:r>
              <w:rPr>
                <w:rFonts w:ascii="Calibri" w:hAnsi="Calibri"/>
                <w:b/>
                <w:sz w:val="17"/>
              </w:rPr>
              <w:t>Sınıf Dengesizliği (%26.5 Churn / %73.5 No-Churn)</w:t>
            </w:r>
          </w:p>
        </w:tc>
        <w:tc>
          <w:tcPr>
            <w:tcW w:type="dxa" w:w="3456"/>
            <w:shd w:fill="F9FBFD"/>
            <w:tcMar>
              <w:top w:w="80" w:type="dxa"/>
              <w:bottom w:w="80" w:type="dxa"/>
              <w:left w:w="100" w:type="dxa"/>
              <w:right w:w="100" w:type="dxa"/>
            </w:tcMar>
          </w:tcPr>
          <w:p>
            <w:pPr>
              <w:jc w:val="left"/>
            </w:pPr>
            <w:r>
              <w:rPr>
                <w:rFonts w:ascii="Calibri" w:hAnsi="Calibri"/>
                <w:sz w:val="17"/>
              </w:rPr>
              <w:t>Dengesiz sınıfların modelleri çoğunluk sınıfına yönlendirerek ayrılan müşterileri yakalayamama (düşük Recall) riski.</w:t>
            </w:r>
          </w:p>
        </w:tc>
        <w:tc>
          <w:tcPr>
            <w:tcW w:type="dxa" w:w="3600"/>
            <w:shd w:fill="F9FBFD"/>
            <w:tcMar>
              <w:top w:w="80" w:type="dxa"/>
              <w:bottom w:w="80" w:type="dxa"/>
              <w:left w:w="100" w:type="dxa"/>
              <w:right w:w="100" w:type="dxa"/>
            </w:tcMar>
          </w:tcPr>
          <w:p>
            <w:pPr>
              <w:jc w:val="left"/>
            </w:pPr>
            <w:r>
              <w:rPr>
                <w:rFonts w:ascii="Calibri" w:hAnsi="Calibri"/>
                <w:sz w:val="17"/>
              </w:rPr>
              <w:t>Test setine kesinlikle dokunulmamış; sadece eğitim setine SMOTE uygulanarak sentetik azınlık örnekleriyle sınıflar 1:1 dengelenmiştir.</w:t>
            </w:r>
          </w:p>
        </w:tc>
      </w:tr>
      <w:tr>
        <w:tc>
          <w:tcPr>
            <w:tcW w:type="dxa" w:w="2592"/>
            <w:shd w:fill="FFFFFF"/>
            <w:tcMar>
              <w:top w:w="80" w:type="dxa"/>
              <w:bottom w:w="80" w:type="dxa"/>
              <w:left w:w="100" w:type="dxa"/>
              <w:right w:w="100" w:type="dxa"/>
            </w:tcMar>
          </w:tcPr>
          <w:p>
            <w:pPr>
              <w:jc w:val="left"/>
            </w:pPr>
            <w:r>
              <w:rPr>
                <w:rFonts w:ascii="Calibri" w:hAnsi="Calibri"/>
                <w:b/>
                <w:sz w:val="17"/>
              </w:rPr>
              <w:t>Klasik Şampiyon Model Seçim Çelişkisi</w:t>
            </w:r>
          </w:p>
        </w:tc>
        <w:tc>
          <w:tcPr>
            <w:tcW w:type="dxa" w:w="3456"/>
            <w:shd w:fill="FFFFFF"/>
            <w:tcMar>
              <w:top w:w="80" w:type="dxa"/>
              <w:bottom w:w="80" w:type="dxa"/>
              <w:left w:w="100" w:type="dxa"/>
              <w:right w:w="100" w:type="dxa"/>
            </w:tcMar>
          </w:tcPr>
          <w:p>
            <w:pPr>
              <w:jc w:val="left"/>
            </w:pPr>
            <w:r>
              <w:rPr>
                <w:rFonts w:ascii="Calibri" w:hAnsi="Calibri"/>
                <w:sz w:val="17"/>
              </w:rPr>
              <w:t>AUC sıralamasında Lojistik Regresyon'un (0.827) Random Forest'tan (0.814) matematiksel olarak önde görünmesi.</w:t>
            </w:r>
          </w:p>
        </w:tc>
        <w:tc>
          <w:tcPr>
            <w:tcW w:type="dxa" w:w="3600"/>
            <w:shd w:fill="FFFFFF"/>
            <w:tcMar>
              <w:top w:w="80" w:type="dxa"/>
              <w:bottom w:w="80" w:type="dxa"/>
              <w:left w:w="100" w:type="dxa"/>
              <w:right w:w="100" w:type="dxa"/>
            </w:tcMar>
          </w:tcPr>
          <w:p>
            <w:pPr>
              <w:jc w:val="left"/>
            </w:pPr>
            <w:r>
              <w:rPr>
                <w:rFonts w:ascii="Calibri" w:hAnsi="Calibri"/>
                <w:sz w:val="17"/>
              </w:rPr>
              <w:t>Yanlış pozitif alarmları önlemek ve proje önerisindeki 'en yüksek doğruluk' hedefine uymak için Accuracy (%76.76) ve Precision (%55.53) şampiyonu Random Forest seçilmiştir.</w:t>
            </w:r>
          </w:p>
        </w:tc>
      </w:tr>
      <w:tr>
        <w:tc>
          <w:tcPr>
            <w:tcW w:type="dxa" w:w="2592"/>
            <w:shd w:fill="F9FBFD"/>
            <w:tcMar>
              <w:top w:w="80" w:type="dxa"/>
              <w:bottom w:w="80" w:type="dxa"/>
              <w:left w:w="100" w:type="dxa"/>
              <w:right w:w="100" w:type="dxa"/>
            </w:tcMar>
          </w:tcPr>
          <w:p>
            <w:pPr>
              <w:jc w:val="left"/>
            </w:pPr>
            <w:r>
              <w:rPr>
                <w:rFonts w:ascii="Calibri" w:hAnsi="Calibri"/>
                <w:b/>
                <w:sz w:val="17"/>
              </w:rPr>
              <w:t>Pandas StringDtype Serileştirme Hatası</w:t>
            </w:r>
          </w:p>
        </w:tc>
        <w:tc>
          <w:tcPr>
            <w:tcW w:type="dxa" w:w="3456"/>
            <w:shd w:fill="F9FBFD"/>
            <w:tcMar>
              <w:top w:w="80" w:type="dxa"/>
              <w:bottom w:w="80" w:type="dxa"/>
              <w:left w:w="100" w:type="dxa"/>
              <w:right w:w="100" w:type="dxa"/>
            </w:tcMar>
          </w:tcPr>
          <w:p>
            <w:pPr>
              <w:jc w:val="left"/>
            </w:pPr>
            <w:r>
              <w:rPr>
                <w:rFonts w:ascii="Calibri" w:hAnsi="Calibri"/>
                <w:sz w:val="17"/>
              </w:rPr>
              <w:t>Farklı Pandas sürümüyle kaydedilen pkl dosyalarının yeni ortamda 'StringDtype.__init__()' argüman hatası vererek arayüzü çökertmesi.</w:t>
            </w:r>
          </w:p>
        </w:tc>
        <w:tc>
          <w:tcPr>
            <w:tcW w:type="dxa" w:w="3600"/>
            <w:shd w:fill="F9FBFD"/>
            <w:tcMar>
              <w:top w:w="80" w:type="dxa"/>
              <w:bottom w:w="80" w:type="dxa"/>
              <w:left w:w="100" w:type="dxa"/>
              <w:right w:w="100" w:type="dxa"/>
            </w:tcMar>
          </w:tcPr>
          <w:p>
            <w:pPr>
              <w:jc w:val="left"/>
            </w:pPr>
            <w:r>
              <w:rPr>
                <w:rFonts w:ascii="Calibri" w:hAnsi="Calibri"/>
                <w:sz w:val="17"/>
              </w:rPr>
              <w:t>app.py içerisine geriye dönük dinamik uyumluluk yaması (monkey-patch) eklenmiş, nesneler yerel ortamda yeniden kaydedilerek st.stop() güvenlik önlemi alınmıştır.</w:t>
            </w:r>
          </w:p>
        </w:tc>
      </w:tr>
    </w:tbl>
    <w:p>
      <w:pPr>
        <w:spacing w:after="200"/>
      </w:pPr>
    </w:p>
    <w:p>
      <w:pPr>
        <w:keepNext/>
        <w:spacing w:before="280" w:after="80"/>
      </w:pPr>
      <w:r>
        <w:rPr>
          <w:rFonts w:ascii="Calibri" w:hAnsi="Calibri"/>
          <w:b/>
          <w:color w:val="003366"/>
          <w:sz w:val="26"/>
        </w:rPr>
        <w:t>3. Sonuç</w:t>
      </w:r>
    </w:p>
    <w:p>
      <w:pPr>
        <w:keepNext/>
        <w:spacing w:before="200" w:after="60"/>
      </w:pPr>
      <w:r>
        <w:rPr>
          <w:rFonts w:ascii="Calibri" w:hAnsi="Calibri"/>
          <w:b/>
          <w:color w:val="1E4678"/>
          <w:sz w:val="22"/>
        </w:rPr>
        <w:t>3.1. Modellerin Performans Metrikleri ve Kıyaslama Analizi</w:t>
      </w:r>
    </w:p>
    <w:p>
      <w:pPr>
        <w:spacing w:line="276" w:lineRule="auto" w:after="100"/>
        <w:ind w:firstLine="360"/>
      </w:pPr>
      <w:r>
        <w:rPr>
          <w:rFonts w:ascii="Calibri" w:hAnsi="Calibri"/>
          <w:sz w:val="20"/>
        </w:rPr>
        <w:t>Eğitilen 5 klasik makine öğrenmesi modeli ile 1 derin öğrenme mimarisinin bağımsız test veri seti (1.407 müşteri) üzerindeki başarım metrikleri Tablo 2'de sunulmuştur:</w:t>
      </w:r>
    </w:p>
    <w:p>
      <w:pPr>
        <w:spacing w:before="120" w:after="60"/>
      </w:pPr>
      <w:r>
        <w:rPr>
          <w:rFonts w:ascii="Calibri" w:hAnsi="Calibri"/>
          <w:b/>
          <w:color w:val="003366"/>
          <w:sz w:val="20"/>
        </w:rPr>
        <w:t>Tablo 2. Makine Öğrenmesi ve Derin Öğrenme Modelleri Performans Kıyaslama Tablosu</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608"/>
        <w:gridCol w:w="1608"/>
        <w:gridCol w:w="1608"/>
        <w:gridCol w:w="1608"/>
        <w:gridCol w:w="1608"/>
        <w:gridCol w:w="1608"/>
      </w:tblGrid>
      <w:tr>
        <w:tc>
          <w:tcPr>
            <w:tcW w:type="dxa" w:w="2592"/>
            <w:shd w:fill="003366"/>
            <w:tcMar>
              <w:top w:w="100" w:type="dxa"/>
              <w:bottom w:w="100" w:type="dxa"/>
              <w:left w:w="100" w:type="dxa"/>
              <w:right w:w="100" w:type="dxa"/>
            </w:tcMar>
          </w:tcPr>
          <w:p>
            <w:pPr>
              <w:jc w:val="center"/>
            </w:pPr>
            <w:r>
              <w:rPr>
                <w:rFonts w:ascii="Calibri" w:hAnsi="Calibri"/>
                <w:b/>
                <w:color w:val="FFFFFF"/>
                <w:sz w:val="18"/>
              </w:rPr>
              <w:t>Model Türü</w:t>
            </w:r>
          </w:p>
        </w:tc>
        <w:tc>
          <w:tcPr>
            <w:tcW w:type="dxa" w:w="1584"/>
            <w:shd w:fill="003366"/>
            <w:tcMar>
              <w:top w:w="100" w:type="dxa"/>
              <w:bottom w:w="100" w:type="dxa"/>
              <w:left w:w="100" w:type="dxa"/>
              <w:right w:w="100" w:type="dxa"/>
            </w:tcMar>
          </w:tcPr>
          <w:p>
            <w:pPr>
              <w:jc w:val="center"/>
            </w:pPr>
            <w:r>
              <w:rPr>
                <w:rFonts w:ascii="Calibri" w:hAnsi="Calibri"/>
                <w:b/>
                <w:color w:val="FFFFFF"/>
                <w:sz w:val="18"/>
              </w:rPr>
              <w:t>Doğruluk (Accuracy)</w:t>
            </w:r>
          </w:p>
        </w:tc>
        <w:tc>
          <w:tcPr>
            <w:tcW w:type="dxa" w:w="1584"/>
            <w:shd w:fill="003366"/>
            <w:tcMar>
              <w:top w:w="100" w:type="dxa"/>
              <w:bottom w:w="100" w:type="dxa"/>
              <w:left w:w="100" w:type="dxa"/>
              <w:right w:w="100" w:type="dxa"/>
            </w:tcMar>
          </w:tcPr>
          <w:p>
            <w:pPr>
              <w:jc w:val="center"/>
            </w:pPr>
            <w:r>
              <w:rPr>
                <w:rFonts w:ascii="Calibri" w:hAnsi="Calibri"/>
                <w:b/>
                <w:color w:val="FFFFFF"/>
                <w:sz w:val="18"/>
              </w:rPr>
              <w:t>Kesinlik (Precision)</w:t>
            </w:r>
          </w:p>
        </w:tc>
        <w:tc>
          <w:tcPr>
            <w:tcW w:type="dxa" w:w="1584"/>
            <w:shd w:fill="003366"/>
            <w:tcMar>
              <w:top w:w="100" w:type="dxa"/>
              <w:bottom w:w="100" w:type="dxa"/>
              <w:left w:w="100" w:type="dxa"/>
              <w:right w:w="100" w:type="dxa"/>
            </w:tcMar>
          </w:tcPr>
          <w:p>
            <w:pPr>
              <w:jc w:val="center"/>
            </w:pPr>
            <w:r>
              <w:rPr>
                <w:rFonts w:ascii="Calibri" w:hAnsi="Calibri"/>
                <w:b/>
                <w:color w:val="FFFFFF"/>
                <w:sz w:val="18"/>
              </w:rPr>
              <w:t>Duyarlılık (Recall)</w:t>
            </w:r>
          </w:p>
        </w:tc>
        <w:tc>
          <w:tcPr>
            <w:tcW w:type="dxa" w:w="1296"/>
            <w:shd w:fill="003366"/>
            <w:tcMar>
              <w:top w:w="100" w:type="dxa"/>
              <w:bottom w:w="100" w:type="dxa"/>
              <w:left w:w="100" w:type="dxa"/>
              <w:right w:w="100" w:type="dxa"/>
            </w:tcMar>
          </w:tcPr>
          <w:p>
            <w:pPr>
              <w:jc w:val="center"/>
            </w:pPr>
            <w:r>
              <w:rPr>
                <w:rFonts w:ascii="Calibri" w:hAnsi="Calibri"/>
                <w:b/>
                <w:color w:val="FFFFFF"/>
                <w:sz w:val="18"/>
              </w:rPr>
              <w:t>F1-Skoru</w:t>
            </w:r>
          </w:p>
        </w:tc>
        <w:tc>
          <w:tcPr>
            <w:tcW w:type="dxa" w:w="1296"/>
            <w:shd w:fill="003366"/>
            <w:tcMar>
              <w:top w:w="100" w:type="dxa"/>
              <w:bottom w:w="100" w:type="dxa"/>
              <w:left w:w="100" w:type="dxa"/>
              <w:right w:w="100" w:type="dxa"/>
            </w:tcMar>
          </w:tcPr>
          <w:p>
            <w:pPr>
              <w:jc w:val="center"/>
            </w:pPr>
            <w:r>
              <w:rPr>
                <w:rFonts w:ascii="Calibri" w:hAnsi="Calibri"/>
                <w:b/>
                <w:color w:val="FFFFFF"/>
                <w:sz w:val="18"/>
              </w:rPr>
              <w:t>ROC-AUC Skoru</w:t>
            </w:r>
          </w:p>
        </w:tc>
      </w:tr>
      <w:tr>
        <w:tc>
          <w:tcPr>
            <w:tcW w:type="dxa" w:w="2592"/>
            <w:shd w:fill="EBF3FA"/>
            <w:tcMar>
              <w:top w:w="80" w:type="dxa"/>
              <w:bottom w:w="80" w:type="dxa"/>
              <w:left w:w="100" w:type="dxa"/>
              <w:right w:w="100" w:type="dxa"/>
            </w:tcMar>
          </w:tcPr>
          <w:p>
            <w:pPr>
              <w:jc w:val="left"/>
            </w:pPr>
            <w:r>
              <w:rPr>
                <w:rFonts w:ascii="Calibri" w:hAnsi="Calibri"/>
                <w:b/>
                <w:sz w:val="17"/>
              </w:rPr>
              <w:t>Random Forest (Klasik Şampiyon)</w:t>
            </w:r>
          </w:p>
        </w:tc>
        <w:tc>
          <w:tcPr>
            <w:tcW w:type="dxa" w:w="1584"/>
            <w:shd w:fill="EBF3FA"/>
            <w:tcMar>
              <w:top w:w="80" w:type="dxa"/>
              <w:bottom w:w="80" w:type="dxa"/>
              <w:left w:w="100" w:type="dxa"/>
              <w:right w:w="100" w:type="dxa"/>
            </w:tcMar>
          </w:tcPr>
          <w:p>
            <w:pPr>
              <w:jc w:val="center"/>
            </w:pPr>
            <w:r>
              <w:rPr>
                <w:rFonts w:ascii="Calibri" w:hAnsi="Calibri"/>
                <w:b/>
                <w:sz w:val="17"/>
              </w:rPr>
              <w:t>0.768 (%76.8)</w:t>
            </w:r>
          </w:p>
        </w:tc>
        <w:tc>
          <w:tcPr>
            <w:tcW w:type="dxa" w:w="1584"/>
            <w:shd w:fill="EBF3FA"/>
            <w:tcMar>
              <w:top w:w="80" w:type="dxa"/>
              <w:bottom w:w="80" w:type="dxa"/>
              <w:left w:w="100" w:type="dxa"/>
              <w:right w:w="100" w:type="dxa"/>
            </w:tcMar>
          </w:tcPr>
          <w:p>
            <w:pPr>
              <w:jc w:val="center"/>
            </w:pPr>
            <w:r>
              <w:rPr>
                <w:rFonts w:ascii="Calibri" w:hAnsi="Calibri"/>
                <w:b/>
                <w:sz w:val="17"/>
              </w:rPr>
              <w:t>0.555 (%55.5)</w:t>
            </w:r>
          </w:p>
        </w:tc>
        <w:tc>
          <w:tcPr>
            <w:tcW w:type="dxa" w:w="1584"/>
            <w:shd w:fill="EBF3FA"/>
            <w:tcMar>
              <w:top w:w="80" w:type="dxa"/>
              <w:bottom w:w="80" w:type="dxa"/>
              <w:left w:w="100" w:type="dxa"/>
              <w:right w:w="100" w:type="dxa"/>
            </w:tcMar>
          </w:tcPr>
          <w:p>
            <w:pPr>
              <w:jc w:val="center"/>
            </w:pPr>
            <w:r>
              <w:rPr>
                <w:rFonts w:ascii="Calibri" w:hAnsi="Calibri"/>
                <w:b/>
                <w:sz w:val="17"/>
              </w:rPr>
              <w:t>0.631 (%63.1)</w:t>
            </w:r>
          </w:p>
        </w:tc>
        <w:tc>
          <w:tcPr>
            <w:tcW w:type="dxa" w:w="1296"/>
            <w:shd w:fill="EBF3FA"/>
            <w:tcMar>
              <w:top w:w="80" w:type="dxa"/>
              <w:bottom w:w="80" w:type="dxa"/>
              <w:left w:w="100" w:type="dxa"/>
              <w:right w:w="100" w:type="dxa"/>
            </w:tcMar>
          </w:tcPr>
          <w:p>
            <w:pPr>
              <w:jc w:val="center"/>
            </w:pPr>
            <w:r>
              <w:rPr>
                <w:rFonts w:ascii="Calibri" w:hAnsi="Calibri"/>
                <w:b/>
                <w:sz w:val="17"/>
              </w:rPr>
              <w:t>0.591</w:t>
            </w:r>
          </w:p>
        </w:tc>
        <w:tc>
          <w:tcPr>
            <w:tcW w:type="dxa" w:w="1296"/>
            <w:shd w:fill="EBF3FA"/>
            <w:tcMar>
              <w:top w:w="80" w:type="dxa"/>
              <w:bottom w:w="80" w:type="dxa"/>
              <w:left w:w="100" w:type="dxa"/>
              <w:right w:w="100" w:type="dxa"/>
            </w:tcMar>
          </w:tcPr>
          <w:p>
            <w:pPr>
              <w:jc w:val="center"/>
            </w:pPr>
            <w:r>
              <w:rPr>
                <w:rFonts w:ascii="Calibri" w:hAnsi="Calibri"/>
                <w:b/>
                <w:sz w:val="17"/>
              </w:rPr>
              <w:t>0.814</w:t>
            </w:r>
          </w:p>
        </w:tc>
      </w:tr>
      <w:tr>
        <w:tc>
          <w:tcPr>
            <w:tcW w:type="dxa" w:w="2592"/>
            <w:shd w:fill="F9FBFD"/>
            <w:tcMar>
              <w:top w:w="80" w:type="dxa"/>
              <w:bottom w:w="80" w:type="dxa"/>
              <w:left w:w="100" w:type="dxa"/>
              <w:right w:w="100" w:type="dxa"/>
            </w:tcMar>
          </w:tcPr>
          <w:p>
            <w:pPr>
              <w:jc w:val="left"/>
            </w:pPr>
            <w:r>
              <w:rPr>
                <w:rFonts w:ascii="Calibri" w:hAnsi="Calibri"/>
                <w:sz w:val="17"/>
              </w:rPr>
              <w:t>XGBoost</w:t>
            </w:r>
          </w:p>
        </w:tc>
        <w:tc>
          <w:tcPr>
            <w:tcW w:type="dxa" w:w="1584"/>
            <w:shd w:fill="F9FBFD"/>
            <w:tcMar>
              <w:top w:w="80" w:type="dxa"/>
              <w:bottom w:w="80" w:type="dxa"/>
              <w:left w:w="100" w:type="dxa"/>
              <w:right w:w="100" w:type="dxa"/>
            </w:tcMar>
          </w:tcPr>
          <w:p>
            <w:pPr>
              <w:jc w:val="center"/>
            </w:pPr>
            <w:r>
              <w:rPr>
                <w:rFonts w:ascii="Calibri" w:hAnsi="Calibri"/>
                <w:sz w:val="17"/>
              </w:rPr>
              <w:t>0.748 (%74.8)</w:t>
            </w:r>
          </w:p>
        </w:tc>
        <w:tc>
          <w:tcPr>
            <w:tcW w:type="dxa" w:w="1584"/>
            <w:shd w:fill="F9FBFD"/>
            <w:tcMar>
              <w:top w:w="80" w:type="dxa"/>
              <w:bottom w:w="80" w:type="dxa"/>
              <w:left w:w="100" w:type="dxa"/>
              <w:right w:w="100" w:type="dxa"/>
            </w:tcMar>
          </w:tcPr>
          <w:p>
            <w:pPr>
              <w:jc w:val="center"/>
            </w:pPr>
            <w:r>
              <w:rPr>
                <w:rFonts w:ascii="Calibri" w:hAnsi="Calibri"/>
                <w:sz w:val="17"/>
              </w:rPr>
              <w:t>0.518 (%51.8)</w:t>
            </w:r>
          </w:p>
        </w:tc>
        <w:tc>
          <w:tcPr>
            <w:tcW w:type="dxa" w:w="1584"/>
            <w:shd w:fill="F9FBFD"/>
            <w:tcMar>
              <w:top w:w="80" w:type="dxa"/>
              <w:bottom w:w="80" w:type="dxa"/>
              <w:left w:w="100" w:type="dxa"/>
              <w:right w:w="100" w:type="dxa"/>
            </w:tcMar>
          </w:tcPr>
          <w:p>
            <w:pPr>
              <w:jc w:val="center"/>
            </w:pPr>
            <w:r>
              <w:rPr>
                <w:rFonts w:ascii="Calibri" w:hAnsi="Calibri"/>
                <w:sz w:val="17"/>
              </w:rPr>
              <w:t>0.746 (%74.6)</w:t>
            </w:r>
          </w:p>
        </w:tc>
        <w:tc>
          <w:tcPr>
            <w:tcW w:type="dxa" w:w="1296"/>
            <w:shd w:fill="F9FBFD"/>
            <w:tcMar>
              <w:top w:w="80" w:type="dxa"/>
              <w:bottom w:w="80" w:type="dxa"/>
              <w:left w:w="100" w:type="dxa"/>
              <w:right w:w="100" w:type="dxa"/>
            </w:tcMar>
          </w:tcPr>
          <w:p>
            <w:pPr>
              <w:jc w:val="center"/>
            </w:pPr>
            <w:r>
              <w:rPr>
                <w:rFonts w:ascii="Calibri" w:hAnsi="Calibri"/>
                <w:sz w:val="17"/>
              </w:rPr>
              <w:t>0.611</w:t>
            </w:r>
          </w:p>
        </w:tc>
        <w:tc>
          <w:tcPr>
            <w:tcW w:type="dxa" w:w="1296"/>
            <w:shd w:fill="F9FBFD"/>
            <w:tcMar>
              <w:top w:w="80" w:type="dxa"/>
              <w:bottom w:w="80" w:type="dxa"/>
              <w:left w:w="100" w:type="dxa"/>
              <w:right w:w="100" w:type="dxa"/>
            </w:tcMar>
          </w:tcPr>
          <w:p>
            <w:pPr>
              <w:jc w:val="center"/>
            </w:pPr>
            <w:r>
              <w:rPr>
                <w:rFonts w:ascii="Calibri" w:hAnsi="Calibri"/>
                <w:sz w:val="17"/>
              </w:rPr>
              <w:t>0.824</w:t>
            </w:r>
          </w:p>
        </w:tc>
      </w:tr>
      <w:tr>
        <w:tc>
          <w:tcPr>
            <w:tcW w:type="dxa" w:w="2592"/>
            <w:shd w:fill="FFFFFF"/>
            <w:tcMar>
              <w:top w:w="80" w:type="dxa"/>
              <w:bottom w:w="80" w:type="dxa"/>
              <w:left w:w="100" w:type="dxa"/>
              <w:right w:w="100" w:type="dxa"/>
            </w:tcMar>
          </w:tcPr>
          <w:p>
            <w:pPr>
              <w:jc w:val="left"/>
            </w:pPr>
            <w:r>
              <w:rPr>
                <w:rFonts w:ascii="Calibri" w:hAnsi="Calibri"/>
                <w:sz w:val="17"/>
              </w:rPr>
              <w:t>Lojistik Regresyon</w:t>
            </w:r>
          </w:p>
        </w:tc>
        <w:tc>
          <w:tcPr>
            <w:tcW w:type="dxa" w:w="1584"/>
            <w:shd w:fill="FFFFFF"/>
            <w:tcMar>
              <w:top w:w="80" w:type="dxa"/>
              <w:bottom w:w="80" w:type="dxa"/>
              <w:left w:w="100" w:type="dxa"/>
              <w:right w:w="100" w:type="dxa"/>
            </w:tcMar>
          </w:tcPr>
          <w:p>
            <w:pPr>
              <w:jc w:val="center"/>
            </w:pPr>
            <w:r>
              <w:rPr>
                <w:rFonts w:ascii="Calibri" w:hAnsi="Calibri"/>
                <w:sz w:val="17"/>
              </w:rPr>
              <w:t>0.746 (%74.6)</w:t>
            </w:r>
          </w:p>
        </w:tc>
        <w:tc>
          <w:tcPr>
            <w:tcW w:type="dxa" w:w="1584"/>
            <w:shd w:fill="FFFFFF"/>
            <w:tcMar>
              <w:top w:w="80" w:type="dxa"/>
              <w:bottom w:w="80" w:type="dxa"/>
              <w:left w:w="100" w:type="dxa"/>
              <w:right w:w="100" w:type="dxa"/>
            </w:tcMar>
          </w:tcPr>
          <w:p>
            <w:pPr>
              <w:jc w:val="center"/>
            </w:pPr>
            <w:r>
              <w:rPr>
                <w:rFonts w:ascii="Calibri" w:hAnsi="Calibri"/>
                <w:sz w:val="17"/>
              </w:rPr>
              <w:t>0.515 (%51.5)</w:t>
            </w:r>
          </w:p>
        </w:tc>
        <w:tc>
          <w:tcPr>
            <w:tcW w:type="dxa" w:w="1584"/>
            <w:shd w:fill="FFFFFF"/>
            <w:tcMar>
              <w:top w:w="80" w:type="dxa"/>
              <w:bottom w:w="80" w:type="dxa"/>
              <w:left w:w="100" w:type="dxa"/>
              <w:right w:w="100" w:type="dxa"/>
            </w:tcMar>
          </w:tcPr>
          <w:p>
            <w:pPr>
              <w:jc w:val="center"/>
            </w:pPr>
            <w:r>
              <w:rPr>
                <w:rFonts w:ascii="Calibri" w:hAnsi="Calibri"/>
                <w:sz w:val="17"/>
              </w:rPr>
              <w:t>0.751 (%75.1)</w:t>
            </w:r>
          </w:p>
        </w:tc>
        <w:tc>
          <w:tcPr>
            <w:tcW w:type="dxa" w:w="1296"/>
            <w:shd w:fill="FFFFFF"/>
            <w:tcMar>
              <w:top w:w="80" w:type="dxa"/>
              <w:bottom w:w="80" w:type="dxa"/>
              <w:left w:w="100" w:type="dxa"/>
              <w:right w:w="100" w:type="dxa"/>
            </w:tcMar>
          </w:tcPr>
          <w:p>
            <w:pPr>
              <w:jc w:val="center"/>
            </w:pPr>
            <w:r>
              <w:rPr>
                <w:rFonts w:ascii="Calibri" w:hAnsi="Calibri"/>
                <w:sz w:val="17"/>
              </w:rPr>
              <w:t>0.611</w:t>
            </w:r>
          </w:p>
        </w:tc>
        <w:tc>
          <w:tcPr>
            <w:tcW w:type="dxa" w:w="1296"/>
            <w:shd w:fill="FFFFFF"/>
            <w:tcMar>
              <w:top w:w="80" w:type="dxa"/>
              <w:bottom w:w="80" w:type="dxa"/>
              <w:left w:w="100" w:type="dxa"/>
              <w:right w:w="100" w:type="dxa"/>
            </w:tcMar>
          </w:tcPr>
          <w:p>
            <w:pPr>
              <w:jc w:val="center"/>
            </w:pPr>
            <w:r>
              <w:rPr>
                <w:rFonts w:ascii="Calibri" w:hAnsi="Calibri"/>
                <w:sz w:val="17"/>
              </w:rPr>
              <w:t>0.827</w:t>
            </w:r>
          </w:p>
        </w:tc>
      </w:tr>
      <w:tr>
        <w:tc>
          <w:tcPr>
            <w:tcW w:type="dxa" w:w="2592"/>
            <w:shd w:fill="F9FBFD"/>
            <w:tcMar>
              <w:top w:w="80" w:type="dxa"/>
              <w:bottom w:w="80" w:type="dxa"/>
              <w:left w:w="100" w:type="dxa"/>
              <w:right w:w="100" w:type="dxa"/>
            </w:tcMar>
          </w:tcPr>
          <w:p>
            <w:pPr>
              <w:jc w:val="left"/>
            </w:pPr>
            <w:r>
              <w:rPr>
                <w:rFonts w:ascii="Calibri" w:hAnsi="Calibri"/>
                <w:sz w:val="17"/>
              </w:rPr>
              <w:t>Destek Vektör Makineleri (SVM)</w:t>
            </w:r>
          </w:p>
        </w:tc>
        <w:tc>
          <w:tcPr>
            <w:tcW w:type="dxa" w:w="1584"/>
            <w:shd w:fill="F9FBFD"/>
            <w:tcMar>
              <w:top w:w="80" w:type="dxa"/>
              <w:bottom w:w="80" w:type="dxa"/>
              <w:left w:w="100" w:type="dxa"/>
              <w:right w:w="100" w:type="dxa"/>
            </w:tcMar>
          </w:tcPr>
          <w:p>
            <w:pPr>
              <w:jc w:val="center"/>
            </w:pPr>
            <w:r>
              <w:rPr>
                <w:rFonts w:ascii="Calibri" w:hAnsi="Calibri"/>
                <w:sz w:val="17"/>
              </w:rPr>
              <w:t>0.745 (%74.5)</w:t>
            </w:r>
          </w:p>
        </w:tc>
        <w:tc>
          <w:tcPr>
            <w:tcW w:type="dxa" w:w="1584"/>
            <w:shd w:fill="F9FBFD"/>
            <w:tcMar>
              <w:top w:w="80" w:type="dxa"/>
              <w:bottom w:w="80" w:type="dxa"/>
              <w:left w:w="100" w:type="dxa"/>
              <w:right w:w="100" w:type="dxa"/>
            </w:tcMar>
          </w:tcPr>
          <w:p>
            <w:pPr>
              <w:jc w:val="center"/>
            </w:pPr>
            <w:r>
              <w:rPr>
                <w:rFonts w:ascii="Calibri" w:hAnsi="Calibri"/>
                <w:sz w:val="17"/>
              </w:rPr>
              <w:t>0.514 (%51.4)</w:t>
            </w:r>
          </w:p>
        </w:tc>
        <w:tc>
          <w:tcPr>
            <w:tcW w:type="dxa" w:w="1584"/>
            <w:shd w:fill="F9FBFD"/>
            <w:tcMar>
              <w:top w:w="80" w:type="dxa"/>
              <w:bottom w:w="80" w:type="dxa"/>
              <w:left w:w="100" w:type="dxa"/>
              <w:right w:w="100" w:type="dxa"/>
            </w:tcMar>
          </w:tcPr>
          <w:p>
            <w:pPr>
              <w:jc w:val="center"/>
            </w:pPr>
            <w:r>
              <w:rPr>
                <w:rFonts w:ascii="Calibri" w:hAnsi="Calibri"/>
                <w:sz w:val="17"/>
              </w:rPr>
              <w:t>0.733 (%73.3)</w:t>
            </w:r>
          </w:p>
        </w:tc>
        <w:tc>
          <w:tcPr>
            <w:tcW w:type="dxa" w:w="1296"/>
            <w:shd w:fill="F9FBFD"/>
            <w:tcMar>
              <w:top w:w="80" w:type="dxa"/>
              <w:bottom w:w="80" w:type="dxa"/>
              <w:left w:w="100" w:type="dxa"/>
              <w:right w:w="100" w:type="dxa"/>
            </w:tcMar>
          </w:tcPr>
          <w:p>
            <w:pPr>
              <w:jc w:val="center"/>
            </w:pPr>
            <w:r>
              <w:rPr>
                <w:rFonts w:ascii="Calibri" w:hAnsi="Calibri"/>
                <w:sz w:val="17"/>
              </w:rPr>
              <w:t>0.604</w:t>
            </w:r>
          </w:p>
        </w:tc>
        <w:tc>
          <w:tcPr>
            <w:tcW w:type="dxa" w:w="1296"/>
            <w:shd w:fill="F9FBFD"/>
            <w:tcMar>
              <w:top w:w="80" w:type="dxa"/>
              <w:bottom w:w="80" w:type="dxa"/>
              <w:left w:w="100" w:type="dxa"/>
              <w:right w:w="100" w:type="dxa"/>
            </w:tcMar>
          </w:tcPr>
          <w:p>
            <w:pPr>
              <w:jc w:val="center"/>
            </w:pPr>
            <w:r>
              <w:rPr>
                <w:rFonts w:ascii="Calibri" w:hAnsi="Calibri"/>
                <w:sz w:val="17"/>
              </w:rPr>
              <w:t>0.802</w:t>
            </w:r>
          </w:p>
        </w:tc>
      </w:tr>
      <w:tr>
        <w:tc>
          <w:tcPr>
            <w:tcW w:type="dxa" w:w="2592"/>
            <w:shd w:fill="FFFFFF"/>
            <w:tcMar>
              <w:top w:w="80" w:type="dxa"/>
              <w:bottom w:w="80" w:type="dxa"/>
              <w:left w:w="100" w:type="dxa"/>
              <w:right w:w="100" w:type="dxa"/>
            </w:tcMar>
          </w:tcPr>
          <w:p>
            <w:pPr>
              <w:jc w:val="left"/>
            </w:pPr>
            <w:r>
              <w:rPr>
                <w:rFonts w:ascii="Calibri" w:hAnsi="Calibri"/>
                <w:sz w:val="17"/>
              </w:rPr>
              <w:t>K-En Yakın Komşu (KNN)</w:t>
            </w:r>
          </w:p>
        </w:tc>
        <w:tc>
          <w:tcPr>
            <w:tcW w:type="dxa" w:w="1584"/>
            <w:shd w:fill="FFFFFF"/>
            <w:tcMar>
              <w:top w:w="80" w:type="dxa"/>
              <w:bottom w:w="80" w:type="dxa"/>
              <w:left w:w="100" w:type="dxa"/>
              <w:right w:w="100" w:type="dxa"/>
            </w:tcMar>
          </w:tcPr>
          <w:p>
            <w:pPr>
              <w:jc w:val="center"/>
            </w:pPr>
            <w:r>
              <w:rPr>
                <w:rFonts w:ascii="Calibri" w:hAnsi="Calibri"/>
                <w:sz w:val="17"/>
              </w:rPr>
              <w:t>0.711 (%71.1)</w:t>
            </w:r>
          </w:p>
        </w:tc>
        <w:tc>
          <w:tcPr>
            <w:tcW w:type="dxa" w:w="1584"/>
            <w:shd w:fill="FFFFFF"/>
            <w:tcMar>
              <w:top w:w="80" w:type="dxa"/>
              <w:bottom w:w="80" w:type="dxa"/>
              <w:left w:w="100" w:type="dxa"/>
              <w:right w:w="100" w:type="dxa"/>
            </w:tcMar>
          </w:tcPr>
          <w:p>
            <w:pPr>
              <w:jc w:val="center"/>
            </w:pPr>
            <w:r>
              <w:rPr>
                <w:rFonts w:ascii="Calibri" w:hAnsi="Calibri"/>
                <w:sz w:val="17"/>
              </w:rPr>
              <w:t>0.473 (%47.3)</w:t>
            </w:r>
          </w:p>
        </w:tc>
        <w:tc>
          <w:tcPr>
            <w:tcW w:type="dxa" w:w="1584"/>
            <w:shd w:fill="FFFFFF"/>
            <w:tcMar>
              <w:top w:w="80" w:type="dxa"/>
              <w:bottom w:w="80" w:type="dxa"/>
              <w:left w:w="100" w:type="dxa"/>
              <w:right w:w="100" w:type="dxa"/>
            </w:tcMar>
          </w:tcPr>
          <w:p>
            <w:pPr>
              <w:jc w:val="center"/>
            </w:pPr>
            <w:r>
              <w:rPr>
                <w:rFonts w:ascii="Calibri" w:hAnsi="Calibri"/>
                <w:sz w:val="17"/>
              </w:rPr>
              <w:t>0.762 (%76.2)</w:t>
            </w:r>
          </w:p>
        </w:tc>
        <w:tc>
          <w:tcPr>
            <w:tcW w:type="dxa" w:w="1296"/>
            <w:shd w:fill="FFFFFF"/>
            <w:tcMar>
              <w:top w:w="80" w:type="dxa"/>
              <w:bottom w:w="80" w:type="dxa"/>
              <w:left w:w="100" w:type="dxa"/>
              <w:right w:w="100" w:type="dxa"/>
            </w:tcMar>
          </w:tcPr>
          <w:p>
            <w:pPr>
              <w:jc w:val="center"/>
            </w:pPr>
            <w:r>
              <w:rPr>
                <w:rFonts w:ascii="Calibri" w:hAnsi="Calibri"/>
                <w:sz w:val="17"/>
              </w:rPr>
              <w:t>0.584</w:t>
            </w:r>
          </w:p>
        </w:tc>
        <w:tc>
          <w:tcPr>
            <w:tcW w:type="dxa" w:w="1296"/>
            <w:shd w:fill="FFFFFF"/>
            <w:tcMar>
              <w:top w:w="80" w:type="dxa"/>
              <w:bottom w:w="80" w:type="dxa"/>
              <w:left w:w="100" w:type="dxa"/>
              <w:right w:w="100" w:type="dxa"/>
            </w:tcMar>
          </w:tcPr>
          <w:p>
            <w:pPr>
              <w:jc w:val="center"/>
            </w:pPr>
            <w:r>
              <w:rPr>
                <w:rFonts w:ascii="Calibri" w:hAnsi="Calibri"/>
                <w:sz w:val="17"/>
              </w:rPr>
              <w:t>0.794</w:t>
            </w:r>
          </w:p>
        </w:tc>
      </w:tr>
      <w:tr>
        <w:tc>
          <w:tcPr>
            <w:tcW w:type="dxa" w:w="2592"/>
            <w:shd w:fill="F9FBFD"/>
            <w:tcMar>
              <w:top w:w="80" w:type="dxa"/>
              <w:bottom w:w="80" w:type="dxa"/>
              <w:left w:w="100" w:type="dxa"/>
              <w:right w:w="100" w:type="dxa"/>
            </w:tcMar>
          </w:tcPr>
          <w:p>
            <w:pPr>
              <w:jc w:val="left"/>
            </w:pPr>
            <w:r>
              <w:rPr>
                <w:rFonts w:ascii="Calibri" w:hAnsi="Calibri"/>
                <w:sz w:val="17"/>
              </w:rPr>
              <w:t>MLP (Derin Öğrenme)</w:t>
            </w:r>
          </w:p>
        </w:tc>
        <w:tc>
          <w:tcPr>
            <w:tcW w:type="dxa" w:w="1584"/>
            <w:shd w:fill="F9FBFD"/>
            <w:tcMar>
              <w:top w:w="80" w:type="dxa"/>
              <w:bottom w:w="80" w:type="dxa"/>
              <w:left w:w="100" w:type="dxa"/>
              <w:right w:w="100" w:type="dxa"/>
            </w:tcMar>
          </w:tcPr>
          <w:p>
            <w:pPr>
              <w:jc w:val="center"/>
            </w:pPr>
            <w:r>
              <w:rPr>
                <w:rFonts w:ascii="Calibri" w:hAnsi="Calibri"/>
                <w:sz w:val="17"/>
              </w:rPr>
              <w:t>0.731 (%73.1)</w:t>
            </w:r>
          </w:p>
        </w:tc>
        <w:tc>
          <w:tcPr>
            <w:tcW w:type="dxa" w:w="1584"/>
            <w:shd w:fill="F9FBFD"/>
            <w:tcMar>
              <w:top w:w="80" w:type="dxa"/>
              <w:bottom w:w="80" w:type="dxa"/>
              <w:left w:w="100" w:type="dxa"/>
              <w:right w:w="100" w:type="dxa"/>
            </w:tcMar>
          </w:tcPr>
          <w:p>
            <w:pPr>
              <w:jc w:val="center"/>
            </w:pPr>
            <w:r>
              <w:rPr>
                <w:rFonts w:ascii="Calibri" w:hAnsi="Calibri"/>
                <w:sz w:val="17"/>
              </w:rPr>
              <w:t>0.495 (%49.5)</w:t>
            </w:r>
          </w:p>
        </w:tc>
        <w:tc>
          <w:tcPr>
            <w:tcW w:type="dxa" w:w="1584"/>
            <w:shd w:fill="F9FBFD"/>
            <w:tcMar>
              <w:top w:w="80" w:type="dxa"/>
              <w:bottom w:w="80" w:type="dxa"/>
              <w:left w:w="100" w:type="dxa"/>
              <w:right w:w="100" w:type="dxa"/>
            </w:tcMar>
          </w:tcPr>
          <w:p>
            <w:pPr>
              <w:jc w:val="center"/>
            </w:pPr>
            <w:r>
              <w:rPr>
                <w:rFonts w:ascii="Calibri" w:hAnsi="Calibri"/>
                <w:sz w:val="17"/>
              </w:rPr>
              <w:t>0.553 (%55.3)</w:t>
            </w:r>
          </w:p>
        </w:tc>
        <w:tc>
          <w:tcPr>
            <w:tcW w:type="dxa" w:w="1296"/>
            <w:shd w:fill="F9FBFD"/>
            <w:tcMar>
              <w:top w:w="80" w:type="dxa"/>
              <w:bottom w:w="80" w:type="dxa"/>
              <w:left w:w="100" w:type="dxa"/>
              <w:right w:w="100" w:type="dxa"/>
            </w:tcMar>
          </w:tcPr>
          <w:p>
            <w:pPr>
              <w:jc w:val="center"/>
            </w:pPr>
            <w:r>
              <w:rPr>
                <w:rFonts w:ascii="Calibri" w:hAnsi="Calibri"/>
                <w:sz w:val="17"/>
              </w:rPr>
              <w:t>0.523</w:t>
            </w:r>
          </w:p>
        </w:tc>
        <w:tc>
          <w:tcPr>
            <w:tcW w:type="dxa" w:w="1296"/>
            <w:shd w:fill="F9FBFD"/>
            <w:tcMar>
              <w:top w:w="80" w:type="dxa"/>
              <w:bottom w:w="80" w:type="dxa"/>
              <w:left w:w="100" w:type="dxa"/>
              <w:right w:w="100" w:type="dxa"/>
            </w:tcMar>
          </w:tcPr>
          <w:p>
            <w:pPr>
              <w:jc w:val="center"/>
            </w:pPr>
            <w:r>
              <w:rPr>
                <w:rFonts w:ascii="Calibri" w:hAnsi="Calibri"/>
                <w:sz w:val="17"/>
              </w:rPr>
              <w:t>0.755</w:t>
            </w:r>
          </w:p>
        </w:tc>
      </w:tr>
    </w:tbl>
    <w:p>
      <w:pPr>
        <w:spacing w:line="276" w:lineRule="auto" w:after="100"/>
        <w:ind w:firstLine="360"/>
      </w:pPr>
      <w:r>
        <w:rPr>
          <w:rFonts w:ascii="Calibri" w:hAnsi="Calibri"/>
          <w:sz w:val="20"/>
        </w:rPr>
        <w:t>Metrik tablosu değerlendirildiğinde; Random Forest modeli %76.76 doğruluk (Accuracy) ve %55.53 kesinlik (Precision) ile en dengeli genel başarıyı sergilemiştir. Kesinlik skorunun yüksekliği, ayrılmayacak müşterilerin yanlışlıkla ayrılacak gibi tahmin edilmesini engelleyerek kurumsal kaynak tasarrufu sağlamaktadır. MLP (Derin Öğrenme) modeli ise %73.13 doğruluk ve 0.755 AUC skoru üretmiş; tabular veri setindeki seyrek kategorik ve ölçeklenmiş öznitelik dağılımında topluluk ağaçlarının gerisinde kalmıştır.</w:t>
      </w:r>
    </w:p>
    <w:p>
      <w:pPr>
        <w:keepNext/>
        <w:spacing w:before="200" w:after="60"/>
      </w:pPr>
      <w:r>
        <w:rPr>
          <w:rFonts w:ascii="Calibri" w:hAnsi="Calibri"/>
          <w:b/>
          <w:color w:val="1E4678"/>
          <w:sz w:val="22"/>
        </w:rPr>
        <w:t>3.2. Küresel (Global) SHAP Özellik Önem Sıralaması</w:t>
      </w:r>
    </w:p>
    <w:p>
      <w:pPr>
        <w:spacing w:line="276" w:lineRule="auto" w:after="100"/>
        <w:ind w:firstLine="360"/>
      </w:pPr>
      <w:r>
        <w:rPr>
          <w:rFonts w:ascii="Calibri" w:hAnsi="Calibri"/>
          <w:sz w:val="20"/>
        </w:rPr>
        <w:t>Modellerin karar mekanizmalarını şeffaf kılmak amacıyla tüm test evreni üzerinde mutlak ortalama SHAP katkıları (|SHAP|) hesaplanmış ve en belirleyici ilk 10 özellik Tablo 3'te kıyaslanmıştır:</w:t>
      </w:r>
    </w:p>
    <w:p>
      <w:pPr>
        <w:spacing w:before="120" w:after="60"/>
      </w:pPr>
      <w:r>
        <w:rPr>
          <w:rFonts w:ascii="Calibri" w:hAnsi="Calibri"/>
          <w:b/>
          <w:color w:val="003366"/>
          <w:sz w:val="20"/>
        </w:rPr>
        <w:t>Tablo 3. Random Forest ve MLP Modelleri Küresel (Global) SHAP Özellik Önem Sıralaması</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930"/>
        <w:gridCol w:w="1930"/>
        <w:gridCol w:w="1930"/>
        <w:gridCol w:w="1930"/>
        <w:gridCol w:w="1930"/>
      </w:tblGrid>
      <w:tr>
        <w:tc>
          <w:tcPr>
            <w:tcW w:type="dxa" w:w="864"/>
            <w:shd w:fill="003366"/>
            <w:tcMar>
              <w:top w:w="100" w:type="dxa"/>
              <w:bottom w:w="100" w:type="dxa"/>
              <w:left w:w="100" w:type="dxa"/>
              <w:right w:w="100" w:type="dxa"/>
            </w:tcMar>
          </w:tcPr>
          <w:p>
            <w:pPr>
              <w:jc w:val="center"/>
            </w:pPr>
            <w:r>
              <w:rPr>
                <w:rFonts w:ascii="Calibri" w:hAnsi="Calibri"/>
                <w:b/>
                <w:color w:val="FFFFFF"/>
                <w:sz w:val="18"/>
              </w:rPr>
              <w:t>Sıra</w:t>
            </w:r>
          </w:p>
        </w:tc>
        <w:tc>
          <w:tcPr>
            <w:tcW w:type="dxa" w:w="3024"/>
            <w:shd w:fill="003366"/>
            <w:tcMar>
              <w:top w:w="100" w:type="dxa"/>
              <w:bottom w:w="100" w:type="dxa"/>
              <w:left w:w="100" w:type="dxa"/>
              <w:right w:w="100" w:type="dxa"/>
            </w:tcMar>
          </w:tcPr>
          <w:p>
            <w:pPr>
              <w:jc w:val="center"/>
            </w:pPr>
            <w:r>
              <w:rPr>
                <w:rFonts w:ascii="Calibri" w:hAnsi="Calibri"/>
                <w:b/>
                <w:color w:val="FFFFFF"/>
                <w:sz w:val="18"/>
              </w:rPr>
              <w:t>Random Forest Özniteliği</w:t>
            </w:r>
          </w:p>
        </w:tc>
        <w:tc>
          <w:tcPr>
            <w:tcW w:type="dxa" w:w="1584"/>
            <w:shd w:fill="003366"/>
            <w:tcMar>
              <w:top w:w="100" w:type="dxa"/>
              <w:bottom w:w="100" w:type="dxa"/>
              <w:left w:w="100" w:type="dxa"/>
              <w:right w:w="100" w:type="dxa"/>
            </w:tcMar>
          </w:tcPr>
          <w:p>
            <w:pPr>
              <w:jc w:val="center"/>
            </w:pPr>
            <w:r>
              <w:rPr>
                <w:rFonts w:ascii="Calibri" w:hAnsi="Calibri"/>
                <w:b/>
                <w:color w:val="FFFFFF"/>
                <w:sz w:val="18"/>
              </w:rPr>
              <w:t>RF Ort. |SHAP|</w:t>
            </w:r>
          </w:p>
        </w:tc>
        <w:tc>
          <w:tcPr>
            <w:tcW w:type="dxa" w:w="3024"/>
            <w:shd w:fill="003366"/>
            <w:tcMar>
              <w:top w:w="100" w:type="dxa"/>
              <w:bottom w:w="100" w:type="dxa"/>
              <w:left w:w="100" w:type="dxa"/>
              <w:right w:w="100" w:type="dxa"/>
            </w:tcMar>
          </w:tcPr>
          <w:p>
            <w:pPr>
              <w:jc w:val="center"/>
            </w:pPr>
            <w:r>
              <w:rPr>
                <w:rFonts w:ascii="Calibri" w:hAnsi="Calibri"/>
                <w:b/>
                <w:color w:val="FFFFFF"/>
                <w:sz w:val="18"/>
              </w:rPr>
              <w:t>MLP (Derin Öğrenme) Özniteliği</w:t>
            </w:r>
          </w:p>
        </w:tc>
        <w:tc>
          <w:tcPr>
            <w:tcW w:type="dxa" w:w="1584"/>
            <w:shd w:fill="003366"/>
            <w:tcMar>
              <w:top w:w="100" w:type="dxa"/>
              <w:bottom w:w="100" w:type="dxa"/>
              <w:left w:w="100" w:type="dxa"/>
              <w:right w:w="100" w:type="dxa"/>
            </w:tcMar>
          </w:tcPr>
          <w:p>
            <w:pPr>
              <w:jc w:val="center"/>
            </w:pPr>
            <w:r>
              <w:rPr>
                <w:rFonts w:ascii="Calibri" w:hAnsi="Calibri"/>
                <w:b/>
                <w:color w:val="FFFFFF"/>
                <w:sz w:val="18"/>
              </w:rPr>
              <w:t>MLP Ort. |SHAP|</w:t>
            </w:r>
          </w:p>
        </w:tc>
      </w:tr>
      <w:tr>
        <w:tc>
          <w:tcPr>
            <w:tcW w:type="dxa" w:w="864"/>
            <w:shd w:fill="FFFFFF"/>
            <w:tcMar>
              <w:top w:w="80" w:type="dxa"/>
              <w:bottom w:w="80" w:type="dxa"/>
              <w:left w:w="100" w:type="dxa"/>
              <w:right w:w="100" w:type="dxa"/>
            </w:tcMar>
          </w:tcPr>
          <w:p>
            <w:pPr>
              <w:jc w:val="center"/>
            </w:pPr>
            <w:r>
              <w:rPr>
                <w:rFonts w:ascii="Calibri" w:hAnsi="Calibri"/>
                <w:sz w:val="17"/>
              </w:rPr>
              <w:t>1</w:t>
            </w:r>
          </w:p>
        </w:tc>
        <w:tc>
          <w:tcPr>
            <w:tcW w:type="dxa" w:w="3024"/>
            <w:shd w:fill="FFFFFF"/>
            <w:tcMar>
              <w:top w:w="80" w:type="dxa"/>
              <w:bottom w:w="80" w:type="dxa"/>
              <w:left w:w="100" w:type="dxa"/>
              <w:right w:w="100" w:type="dxa"/>
            </w:tcMar>
          </w:tcPr>
          <w:p>
            <w:pPr>
              <w:jc w:val="left"/>
            </w:pPr>
            <w:r>
              <w:rPr>
                <w:rFonts w:ascii="Calibri" w:hAnsi="Calibri"/>
                <w:sz w:val="17"/>
              </w:rPr>
              <w:t>tenure (Abonelik Süresi)</w:t>
            </w:r>
          </w:p>
        </w:tc>
        <w:tc>
          <w:tcPr>
            <w:tcW w:type="dxa" w:w="1584"/>
            <w:shd w:fill="FFFFFF"/>
            <w:tcMar>
              <w:top w:w="80" w:type="dxa"/>
              <w:bottom w:w="80" w:type="dxa"/>
              <w:left w:w="100" w:type="dxa"/>
              <w:right w:w="100" w:type="dxa"/>
            </w:tcMar>
          </w:tcPr>
          <w:p>
            <w:pPr>
              <w:jc w:val="center"/>
            </w:pPr>
            <w:r>
              <w:rPr>
                <w:rFonts w:ascii="Calibri" w:hAnsi="Calibri"/>
                <w:sz w:val="17"/>
              </w:rPr>
              <w:t>0.0750</w:t>
            </w:r>
          </w:p>
        </w:tc>
        <w:tc>
          <w:tcPr>
            <w:tcW w:type="dxa" w:w="3024"/>
            <w:shd w:fill="FFFFFF"/>
            <w:tcMar>
              <w:top w:w="80" w:type="dxa"/>
              <w:bottom w:w="80" w:type="dxa"/>
              <w:left w:w="100" w:type="dxa"/>
              <w:right w:w="100" w:type="dxa"/>
            </w:tcMar>
          </w:tcPr>
          <w:p>
            <w:pPr>
              <w:jc w:val="left"/>
            </w:pPr>
            <w:r>
              <w:rPr>
                <w:rFonts w:ascii="Calibri" w:hAnsi="Calibri"/>
                <w:sz w:val="17"/>
              </w:rPr>
              <w:t>MonthlyCharges (Aylık Ücret)</w:t>
            </w:r>
          </w:p>
        </w:tc>
        <w:tc>
          <w:tcPr>
            <w:tcW w:type="dxa" w:w="1584"/>
            <w:shd w:fill="FFFFFF"/>
            <w:tcMar>
              <w:top w:w="80" w:type="dxa"/>
              <w:bottom w:w="80" w:type="dxa"/>
              <w:left w:w="100" w:type="dxa"/>
              <w:right w:w="100" w:type="dxa"/>
            </w:tcMar>
          </w:tcPr>
          <w:p>
            <w:pPr>
              <w:jc w:val="center"/>
            </w:pPr>
            <w:r>
              <w:rPr>
                <w:rFonts w:ascii="Calibri" w:hAnsi="Calibri"/>
                <w:sz w:val="17"/>
              </w:rPr>
              <w:t>0.2617</w:t>
            </w:r>
          </w:p>
        </w:tc>
      </w:tr>
      <w:tr>
        <w:tc>
          <w:tcPr>
            <w:tcW w:type="dxa" w:w="864"/>
            <w:shd w:fill="F9FBFD"/>
            <w:tcMar>
              <w:top w:w="80" w:type="dxa"/>
              <w:bottom w:w="80" w:type="dxa"/>
              <w:left w:w="100" w:type="dxa"/>
              <w:right w:w="100" w:type="dxa"/>
            </w:tcMar>
          </w:tcPr>
          <w:p>
            <w:pPr>
              <w:jc w:val="center"/>
            </w:pPr>
            <w:r>
              <w:rPr>
                <w:rFonts w:ascii="Calibri" w:hAnsi="Calibri"/>
                <w:sz w:val="17"/>
              </w:rPr>
              <w:t>2</w:t>
            </w:r>
          </w:p>
        </w:tc>
        <w:tc>
          <w:tcPr>
            <w:tcW w:type="dxa" w:w="3024"/>
            <w:shd w:fill="F9FBFD"/>
            <w:tcMar>
              <w:top w:w="80" w:type="dxa"/>
              <w:bottom w:w="80" w:type="dxa"/>
              <w:left w:w="100" w:type="dxa"/>
              <w:right w:w="100" w:type="dxa"/>
            </w:tcMar>
          </w:tcPr>
          <w:p>
            <w:pPr>
              <w:jc w:val="left"/>
            </w:pPr>
            <w:r>
              <w:rPr>
                <w:rFonts w:ascii="Calibri" w:hAnsi="Calibri"/>
                <w:sz w:val="17"/>
              </w:rPr>
              <w:t>Contract_Two year (2 Yıl Sözleşme)</w:t>
            </w:r>
          </w:p>
        </w:tc>
        <w:tc>
          <w:tcPr>
            <w:tcW w:type="dxa" w:w="1584"/>
            <w:shd w:fill="F9FBFD"/>
            <w:tcMar>
              <w:top w:w="80" w:type="dxa"/>
              <w:bottom w:w="80" w:type="dxa"/>
              <w:left w:w="100" w:type="dxa"/>
              <w:right w:w="100" w:type="dxa"/>
            </w:tcMar>
          </w:tcPr>
          <w:p>
            <w:pPr>
              <w:jc w:val="center"/>
            </w:pPr>
            <w:r>
              <w:rPr>
                <w:rFonts w:ascii="Calibri" w:hAnsi="Calibri"/>
                <w:sz w:val="17"/>
              </w:rPr>
              <w:t>0.0702</w:t>
            </w:r>
          </w:p>
        </w:tc>
        <w:tc>
          <w:tcPr>
            <w:tcW w:type="dxa" w:w="3024"/>
            <w:shd w:fill="F9FBFD"/>
            <w:tcMar>
              <w:top w:w="80" w:type="dxa"/>
              <w:bottom w:w="80" w:type="dxa"/>
              <w:left w:w="100" w:type="dxa"/>
              <w:right w:w="100" w:type="dxa"/>
            </w:tcMar>
          </w:tcPr>
          <w:p>
            <w:pPr>
              <w:jc w:val="left"/>
            </w:pPr>
            <w:r>
              <w:rPr>
                <w:rFonts w:ascii="Calibri" w:hAnsi="Calibri"/>
                <w:sz w:val="17"/>
              </w:rPr>
              <w:t>tenure (Abonelik Süresi)</w:t>
            </w:r>
          </w:p>
        </w:tc>
        <w:tc>
          <w:tcPr>
            <w:tcW w:type="dxa" w:w="1584"/>
            <w:shd w:fill="F9FBFD"/>
            <w:tcMar>
              <w:top w:w="80" w:type="dxa"/>
              <w:bottom w:w="80" w:type="dxa"/>
              <w:left w:w="100" w:type="dxa"/>
              <w:right w:w="100" w:type="dxa"/>
            </w:tcMar>
          </w:tcPr>
          <w:p>
            <w:pPr>
              <w:jc w:val="center"/>
            </w:pPr>
            <w:r>
              <w:rPr>
                <w:rFonts w:ascii="Calibri" w:hAnsi="Calibri"/>
                <w:sz w:val="17"/>
              </w:rPr>
              <w:t>0.0843</w:t>
            </w:r>
          </w:p>
        </w:tc>
      </w:tr>
      <w:tr>
        <w:tc>
          <w:tcPr>
            <w:tcW w:type="dxa" w:w="864"/>
            <w:shd w:fill="FFFFFF"/>
            <w:tcMar>
              <w:top w:w="80" w:type="dxa"/>
              <w:bottom w:w="80" w:type="dxa"/>
              <w:left w:w="100" w:type="dxa"/>
              <w:right w:w="100" w:type="dxa"/>
            </w:tcMar>
          </w:tcPr>
          <w:p>
            <w:pPr>
              <w:jc w:val="center"/>
            </w:pPr>
            <w:r>
              <w:rPr>
                <w:rFonts w:ascii="Calibri" w:hAnsi="Calibri"/>
                <w:sz w:val="17"/>
              </w:rPr>
              <w:t>3</w:t>
            </w:r>
          </w:p>
        </w:tc>
        <w:tc>
          <w:tcPr>
            <w:tcW w:type="dxa" w:w="3024"/>
            <w:shd w:fill="FFFFFF"/>
            <w:tcMar>
              <w:top w:w="80" w:type="dxa"/>
              <w:bottom w:w="80" w:type="dxa"/>
              <w:left w:w="100" w:type="dxa"/>
              <w:right w:w="100" w:type="dxa"/>
            </w:tcMar>
          </w:tcPr>
          <w:p>
            <w:pPr>
              <w:jc w:val="left"/>
            </w:pPr>
            <w:r>
              <w:rPr>
                <w:rFonts w:ascii="Calibri" w:hAnsi="Calibri"/>
                <w:sz w:val="17"/>
              </w:rPr>
              <w:t>InternetService_Fiber optic (Fiber)</w:t>
            </w:r>
          </w:p>
        </w:tc>
        <w:tc>
          <w:tcPr>
            <w:tcW w:type="dxa" w:w="1584"/>
            <w:shd w:fill="FFFFFF"/>
            <w:tcMar>
              <w:top w:w="80" w:type="dxa"/>
              <w:bottom w:w="80" w:type="dxa"/>
              <w:left w:w="100" w:type="dxa"/>
              <w:right w:w="100" w:type="dxa"/>
            </w:tcMar>
          </w:tcPr>
          <w:p>
            <w:pPr>
              <w:jc w:val="center"/>
            </w:pPr>
            <w:r>
              <w:rPr>
                <w:rFonts w:ascii="Calibri" w:hAnsi="Calibri"/>
                <w:sz w:val="17"/>
              </w:rPr>
              <w:t>0.0600</w:t>
            </w:r>
          </w:p>
        </w:tc>
        <w:tc>
          <w:tcPr>
            <w:tcW w:type="dxa" w:w="3024"/>
            <w:shd w:fill="FFFFFF"/>
            <w:tcMar>
              <w:top w:w="80" w:type="dxa"/>
              <w:bottom w:w="80" w:type="dxa"/>
              <w:left w:w="100" w:type="dxa"/>
              <w:right w:w="100" w:type="dxa"/>
            </w:tcMar>
          </w:tcPr>
          <w:p>
            <w:pPr>
              <w:jc w:val="left"/>
            </w:pPr>
            <w:r>
              <w:rPr>
                <w:rFonts w:ascii="Calibri" w:hAnsi="Calibri"/>
                <w:sz w:val="17"/>
              </w:rPr>
              <w:t>InternetService_Fiber optic (Fiber)</w:t>
            </w:r>
          </w:p>
        </w:tc>
        <w:tc>
          <w:tcPr>
            <w:tcW w:type="dxa" w:w="1584"/>
            <w:shd w:fill="FFFFFF"/>
            <w:tcMar>
              <w:top w:w="80" w:type="dxa"/>
              <w:bottom w:w="80" w:type="dxa"/>
              <w:left w:w="100" w:type="dxa"/>
              <w:right w:w="100" w:type="dxa"/>
            </w:tcMar>
          </w:tcPr>
          <w:p>
            <w:pPr>
              <w:jc w:val="center"/>
            </w:pPr>
            <w:r>
              <w:rPr>
                <w:rFonts w:ascii="Calibri" w:hAnsi="Calibri"/>
                <w:sz w:val="17"/>
              </w:rPr>
              <w:t>0.0841</w:t>
            </w:r>
          </w:p>
        </w:tc>
      </w:tr>
      <w:tr>
        <w:tc>
          <w:tcPr>
            <w:tcW w:type="dxa" w:w="864"/>
            <w:shd w:fill="F9FBFD"/>
            <w:tcMar>
              <w:top w:w="80" w:type="dxa"/>
              <w:bottom w:w="80" w:type="dxa"/>
              <w:left w:w="100" w:type="dxa"/>
              <w:right w:w="100" w:type="dxa"/>
            </w:tcMar>
          </w:tcPr>
          <w:p>
            <w:pPr>
              <w:jc w:val="center"/>
            </w:pPr>
            <w:r>
              <w:rPr>
                <w:rFonts w:ascii="Calibri" w:hAnsi="Calibri"/>
                <w:sz w:val="17"/>
              </w:rPr>
              <w:t>4</w:t>
            </w:r>
          </w:p>
        </w:tc>
        <w:tc>
          <w:tcPr>
            <w:tcW w:type="dxa" w:w="3024"/>
            <w:shd w:fill="F9FBFD"/>
            <w:tcMar>
              <w:top w:w="80" w:type="dxa"/>
              <w:bottom w:w="80" w:type="dxa"/>
              <w:left w:w="100" w:type="dxa"/>
              <w:right w:w="100" w:type="dxa"/>
            </w:tcMar>
          </w:tcPr>
          <w:p>
            <w:pPr>
              <w:jc w:val="left"/>
            </w:pPr>
            <w:r>
              <w:rPr>
                <w:rFonts w:ascii="Calibri" w:hAnsi="Calibri"/>
                <w:sz w:val="17"/>
              </w:rPr>
              <w:t>Contract_One year (1 Yıl Sözleşme)</w:t>
            </w:r>
          </w:p>
        </w:tc>
        <w:tc>
          <w:tcPr>
            <w:tcW w:type="dxa" w:w="1584"/>
            <w:shd w:fill="F9FBFD"/>
            <w:tcMar>
              <w:top w:w="80" w:type="dxa"/>
              <w:bottom w:w="80" w:type="dxa"/>
              <w:left w:w="100" w:type="dxa"/>
              <w:right w:w="100" w:type="dxa"/>
            </w:tcMar>
          </w:tcPr>
          <w:p>
            <w:pPr>
              <w:jc w:val="center"/>
            </w:pPr>
            <w:r>
              <w:rPr>
                <w:rFonts w:ascii="Calibri" w:hAnsi="Calibri"/>
                <w:sz w:val="17"/>
              </w:rPr>
              <w:t>0.0555</w:t>
            </w:r>
          </w:p>
        </w:tc>
        <w:tc>
          <w:tcPr>
            <w:tcW w:type="dxa" w:w="3024"/>
            <w:shd w:fill="F9FBFD"/>
            <w:tcMar>
              <w:top w:w="80" w:type="dxa"/>
              <w:bottom w:w="80" w:type="dxa"/>
              <w:left w:w="100" w:type="dxa"/>
              <w:right w:w="100" w:type="dxa"/>
            </w:tcMar>
          </w:tcPr>
          <w:p>
            <w:pPr>
              <w:jc w:val="left"/>
            </w:pPr>
            <w:r>
              <w:rPr>
                <w:rFonts w:ascii="Calibri" w:hAnsi="Calibri"/>
                <w:sz w:val="17"/>
              </w:rPr>
              <w:t>Contract_Two year (2 Yıl Sözleşme)</w:t>
            </w:r>
          </w:p>
        </w:tc>
        <w:tc>
          <w:tcPr>
            <w:tcW w:type="dxa" w:w="1584"/>
            <w:shd w:fill="F9FBFD"/>
            <w:tcMar>
              <w:top w:w="80" w:type="dxa"/>
              <w:bottom w:w="80" w:type="dxa"/>
              <w:left w:w="100" w:type="dxa"/>
              <w:right w:w="100" w:type="dxa"/>
            </w:tcMar>
          </w:tcPr>
          <w:p>
            <w:pPr>
              <w:jc w:val="center"/>
            </w:pPr>
            <w:r>
              <w:rPr>
                <w:rFonts w:ascii="Calibri" w:hAnsi="Calibri"/>
                <w:sz w:val="17"/>
              </w:rPr>
              <w:t>0.0829</w:t>
            </w:r>
          </w:p>
        </w:tc>
      </w:tr>
      <w:tr>
        <w:tc>
          <w:tcPr>
            <w:tcW w:type="dxa" w:w="864"/>
            <w:shd w:fill="FFFFFF"/>
            <w:tcMar>
              <w:top w:w="80" w:type="dxa"/>
              <w:bottom w:w="80" w:type="dxa"/>
              <w:left w:w="100" w:type="dxa"/>
              <w:right w:w="100" w:type="dxa"/>
            </w:tcMar>
          </w:tcPr>
          <w:p>
            <w:pPr>
              <w:jc w:val="center"/>
            </w:pPr>
            <w:r>
              <w:rPr>
                <w:rFonts w:ascii="Calibri" w:hAnsi="Calibri"/>
                <w:sz w:val="17"/>
              </w:rPr>
              <w:t>5</w:t>
            </w:r>
          </w:p>
        </w:tc>
        <w:tc>
          <w:tcPr>
            <w:tcW w:type="dxa" w:w="3024"/>
            <w:shd w:fill="FFFFFF"/>
            <w:tcMar>
              <w:top w:w="80" w:type="dxa"/>
              <w:bottom w:w="80" w:type="dxa"/>
              <w:left w:w="100" w:type="dxa"/>
              <w:right w:w="100" w:type="dxa"/>
            </w:tcMar>
          </w:tcPr>
          <w:p>
            <w:pPr>
              <w:jc w:val="left"/>
            </w:pPr>
            <w:r>
              <w:rPr>
                <w:rFonts w:ascii="Calibri" w:hAnsi="Calibri"/>
                <w:sz w:val="17"/>
              </w:rPr>
              <w:t>MonthlyCharges (Aylık Ücret)</w:t>
            </w:r>
          </w:p>
        </w:tc>
        <w:tc>
          <w:tcPr>
            <w:tcW w:type="dxa" w:w="1584"/>
            <w:shd w:fill="FFFFFF"/>
            <w:tcMar>
              <w:top w:w="80" w:type="dxa"/>
              <w:bottom w:w="80" w:type="dxa"/>
              <w:left w:w="100" w:type="dxa"/>
              <w:right w:w="100" w:type="dxa"/>
            </w:tcMar>
          </w:tcPr>
          <w:p>
            <w:pPr>
              <w:jc w:val="center"/>
            </w:pPr>
            <w:r>
              <w:rPr>
                <w:rFonts w:ascii="Calibri" w:hAnsi="Calibri"/>
                <w:sz w:val="17"/>
              </w:rPr>
              <w:t>0.0528</w:t>
            </w:r>
          </w:p>
        </w:tc>
        <w:tc>
          <w:tcPr>
            <w:tcW w:type="dxa" w:w="3024"/>
            <w:shd w:fill="FFFFFF"/>
            <w:tcMar>
              <w:top w:w="80" w:type="dxa"/>
              <w:bottom w:w="80" w:type="dxa"/>
              <w:left w:w="100" w:type="dxa"/>
              <w:right w:w="100" w:type="dxa"/>
            </w:tcMar>
          </w:tcPr>
          <w:p>
            <w:pPr>
              <w:jc w:val="left"/>
            </w:pPr>
            <w:r>
              <w:rPr>
                <w:rFonts w:ascii="Calibri" w:hAnsi="Calibri"/>
                <w:sz w:val="17"/>
              </w:rPr>
              <w:t>Contract_One year (1 Yıl Sözleşme)</w:t>
            </w:r>
          </w:p>
        </w:tc>
        <w:tc>
          <w:tcPr>
            <w:tcW w:type="dxa" w:w="1584"/>
            <w:shd w:fill="FFFFFF"/>
            <w:tcMar>
              <w:top w:w="80" w:type="dxa"/>
              <w:bottom w:w="80" w:type="dxa"/>
              <w:left w:w="100" w:type="dxa"/>
              <w:right w:w="100" w:type="dxa"/>
            </w:tcMar>
          </w:tcPr>
          <w:p>
            <w:pPr>
              <w:jc w:val="center"/>
            </w:pPr>
            <w:r>
              <w:rPr>
                <w:rFonts w:ascii="Calibri" w:hAnsi="Calibri"/>
                <w:sz w:val="17"/>
              </w:rPr>
              <w:t>0.0640</w:t>
            </w:r>
          </w:p>
        </w:tc>
      </w:tr>
      <w:tr>
        <w:tc>
          <w:tcPr>
            <w:tcW w:type="dxa" w:w="864"/>
            <w:shd w:fill="F9FBFD"/>
            <w:tcMar>
              <w:top w:w="80" w:type="dxa"/>
              <w:bottom w:w="80" w:type="dxa"/>
              <w:left w:w="100" w:type="dxa"/>
              <w:right w:w="100" w:type="dxa"/>
            </w:tcMar>
          </w:tcPr>
          <w:p>
            <w:pPr>
              <w:jc w:val="center"/>
            </w:pPr>
            <w:r>
              <w:rPr>
                <w:rFonts w:ascii="Calibri" w:hAnsi="Calibri"/>
                <w:sz w:val="17"/>
              </w:rPr>
              <w:t>6</w:t>
            </w:r>
          </w:p>
        </w:tc>
        <w:tc>
          <w:tcPr>
            <w:tcW w:type="dxa" w:w="3024"/>
            <w:shd w:fill="F9FBFD"/>
            <w:tcMar>
              <w:top w:w="80" w:type="dxa"/>
              <w:bottom w:w="80" w:type="dxa"/>
              <w:left w:w="100" w:type="dxa"/>
              <w:right w:w="100" w:type="dxa"/>
            </w:tcMar>
          </w:tcPr>
          <w:p>
            <w:pPr>
              <w:jc w:val="left"/>
            </w:pPr>
            <w:r>
              <w:rPr>
                <w:rFonts w:ascii="Calibri" w:hAnsi="Calibri"/>
                <w:sz w:val="17"/>
              </w:rPr>
              <w:t>OnlineSecurity (Güvenlik Hizmeti)</w:t>
            </w:r>
          </w:p>
        </w:tc>
        <w:tc>
          <w:tcPr>
            <w:tcW w:type="dxa" w:w="1584"/>
            <w:shd w:fill="F9FBFD"/>
            <w:tcMar>
              <w:top w:w="80" w:type="dxa"/>
              <w:bottom w:w="80" w:type="dxa"/>
              <w:left w:w="100" w:type="dxa"/>
              <w:right w:w="100" w:type="dxa"/>
            </w:tcMar>
          </w:tcPr>
          <w:p>
            <w:pPr>
              <w:jc w:val="center"/>
            </w:pPr>
            <w:r>
              <w:rPr>
                <w:rFonts w:ascii="Calibri" w:hAnsi="Calibri"/>
                <w:sz w:val="17"/>
              </w:rPr>
              <w:t>0.0393</w:t>
            </w:r>
          </w:p>
        </w:tc>
        <w:tc>
          <w:tcPr>
            <w:tcW w:type="dxa" w:w="3024"/>
            <w:shd w:fill="F9FBFD"/>
            <w:tcMar>
              <w:top w:w="80" w:type="dxa"/>
              <w:bottom w:w="80" w:type="dxa"/>
              <w:left w:w="100" w:type="dxa"/>
              <w:right w:w="100" w:type="dxa"/>
            </w:tcMar>
          </w:tcPr>
          <w:p>
            <w:pPr>
              <w:jc w:val="left"/>
            </w:pPr>
            <w:r>
              <w:rPr>
                <w:rFonts w:ascii="Calibri" w:hAnsi="Calibri"/>
                <w:sz w:val="17"/>
              </w:rPr>
              <w:t>Streaming (Yayın Hizmetleri)</w:t>
            </w:r>
          </w:p>
        </w:tc>
        <w:tc>
          <w:tcPr>
            <w:tcW w:type="dxa" w:w="1584"/>
            <w:shd w:fill="F9FBFD"/>
            <w:tcMar>
              <w:top w:w="80" w:type="dxa"/>
              <w:bottom w:w="80" w:type="dxa"/>
              <w:left w:w="100" w:type="dxa"/>
              <w:right w:w="100" w:type="dxa"/>
            </w:tcMar>
          </w:tcPr>
          <w:p>
            <w:pPr>
              <w:jc w:val="center"/>
            </w:pPr>
            <w:r>
              <w:rPr>
                <w:rFonts w:ascii="Calibri" w:hAnsi="Calibri"/>
                <w:sz w:val="17"/>
              </w:rPr>
              <w:t>0.0581</w:t>
            </w:r>
          </w:p>
        </w:tc>
      </w:tr>
      <w:tr>
        <w:tc>
          <w:tcPr>
            <w:tcW w:type="dxa" w:w="864"/>
            <w:shd w:fill="FFFFFF"/>
            <w:tcMar>
              <w:top w:w="80" w:type="dxa"/>
              <w:bottom w:w="80" w:type="dxa"/>
              <w:left w:w="100" w:type="dxa"/>
              <w:right w:w="100" w:type="dxa"/>
            </w:tcMar>
          </w:tcPr>
          <w:p>
            <w:pPr>
              <w:jc w:val="center"/>
            </w:pPr>
            <w:r>
              <w:rPr>
                <w:rFonts w:ascii="Calibri" w:hAnsi="Calibri"/>
                <w:sz w:val="17"/>
              </w:rPr>
              <w:t>7</w:t>
            </w:r>
          </w:p>
        </w:tc>
        <w:tc>
          <w:tcPr>
            <w:tcW w:type="dxa" w:w="3024"/>
            <w:shd w:fill="FFFFFF"/>
            <w:tcMar>
              <w:top w:w="80" w:type="dxa"/>
              <w:bottom w:w="80" w:type="dxa"/>
              <w:left w:w="100" w:type="dxa"/>
              <w:right w:w="100" w:type="dxa"/>
            </w:tcMar>
          </w:tcPr>
          <w:p>
            <w:pPr>
              <w:jc w:val="left"/>
            </w:pPr>
            <w:r>
              <w:rPr>
                <w:rFonts w:ascii="Calibri" w:hAnsi="Calibri"/>
                <w:sz w:val="17"/>
              </w:rPr>
              <w:t>TotalCharges (Toplam Ücret)</w:t>
            </w:r>
          </w:p>
        </w:tc>
        <w:tc>
          <w:tcPr>
            <w:tcW w:type="dxa" w:w="1584"/>
            <w:shd w:fill="FFFFFF"/>
            <w:tcMar>
              <w:top w:w="80" w:type="dxa"/>
              <w:bottom w:w="80" w:type="dxa"/>
              <w:left w:w="100" w:type="dxa"/>
              <w:right w:w="100" w:type="dxa"/>
            </w:tcMar>
          </w:tcPr>
          <w:p>
            <w:pPr>
              <w:jc w:val="center"/>
            </w:pPr>
            <w:r>
              <w:rPr>
                <w:rFonts w:ascii="Calibri" w:hAnsi="Calibri"/>
                <w:sz w:val="17"/>
              </w:rPr>
              <w:t>0.0340</w:t>
            </w:r>
          </w:p>
        </w:tc>
        <w:tc>
          <w:tcPr>
            <w:tcW w:type="dxa" w:w="3024"/>
            <w:shd w:fill="FFFFFF"/>
            <w:tcMar>
              <w:top w:w="80" w:type="dxa"/>
              <w:bottom w:w="80" w:type="dxa"/>
              <w:left w:w="100" w:type="dxa"/>
              <w:right w:w="100" w:type="dxa"/>
            </w:tcMar>
          </w:tcPr>
          <w:p>
            <w:pPr>
              <w:jc w:val="left"/>
            </w:pPr>
            <w:r>
              <w:rPr>
                <w:rFonts w:ascii="Calibri" w:hAnsi="Calibri"/>
                <w:sz w:val="17"/>
              </w:rPr>
              <w:t>OnlineSecurity (Güvenlik Hizmeti)</w:t>
            </w:r>
          </w:p>
        </w:tc>
        <w:tc>
          <w:tcPr>
            <w:tcW w:type="dxa" w:w="1584"/>
            <w:shd w:fill="FFFFFF"/>
            <w:tcMar>
              <w:top w:w="80" w:type="dxa"/>
              <w:bottom w:w="80" w:type="dxa"/>
              <w:left w:w="100" w:type="dxa"/>
              <w:right w:w="100" w:type="dxa"/>
            </w:tcMar>
          </w:tcPr>
          <w:p>
            <w:pPr>
              <w:jc w:val="center"/>
            </w:pPr>
            <w:r>
              <w:rPr>
                <w:rFonts w:ascii="Calibri" w:hAnsi="Calibri"/>
                <w:sz w:val="17"/>
              </w:rPr>
              <w:t>0.0543</w:t>
            </w:r>
          </w:p>
        </w:tc>
      </w:tr>
      <w:tr>
        <w:tc>
          <w:tcPr>
            <w:tcW w:type="dxa" w:w="864"/>
            <w:shd w:fill="F9FBFD"/>
            <w:tcMar>
              <w:top w:w="80" w:type="dxa"/>
              <w:bottom w:w="80" w:type="dxa"/>
              <w:left w:w="100" w:type="dxa"/>
              <w:right w:w="100" w:type="dxa"/>
            </w:tcMar>
          </w:tcPr>
          <w:p>
            <w:pPr>
              <w:jc w:val="center"/>
            </w:pPr>
            <w:r>
              <w:rPr>
                <w:rFonts w:ascii="Calibri" w:hAnsi="Calibri"/>
                <w:sz w:val="17"/>
              </w:rPr>
              <w:t>8</w:t>
            </w:r>
          </w:p>
        </w:tc>
        <w:tc>
          <w:tcPr>
            <w:tcW w:type="dxa" w:w="3024"/>
            <w:shd w:fill="F9FBFD"/>
            <w:tcMar>
              <w:top w:w="80" w:type="dxa"/>
              <w:bottom w:w="80" w:type="dxa"/>
              <w:left w:w="100" w:type="dxa"/>
              <w:right w:w="100" w:type="dxa"/>
            </w:tcMar>
          </w:tcPr>
          <w:p>
            <w:pPr>
              <w:jc w:val="left"/>
            </w:pPr>
            <w:r>
              <w:rPr>
                <w:rFonts w:ascii="Calibri" w:hAnsi="Calibri"/>
                <w:sz w:val="17"/>
              </w:rPr>
              <w:t>InternetService_No (İnternetsiz)</w:t>
            </w:r>
          </w:p>
        </w:tc>
        <w:tc>
          <w:tcPr>
            <w:tcW w:type="dxa" w:w="1584"/>
            <w:shd w:fill="F9FBFD"/>
            <w:tcMar>
              <w:top w:w="80" w:type="dxa"/>
              <w:bottom w:w="80" w:type="dxa"/>
              <w:left w:w="100" w:type="dxa"/>
              <w:right w:w="100" w:type="dxa"/>
            </w:tcMar>
          </w:tcPr>
          <w:p>
            <w:pPr>
              <w:jc w:val="center"/>
            </w:pPr>
            <w:r>
              <w:rPr>
                <w:rFonts w:ascii="Calibri" w:hAnsi="Calibri"/>
                <w:sz w:val="17"/>
              </w:rPr>
              <w:t>0.0312</w:t>
            </w:r>
          </w:p>
        </w:tc>
        <w:tc>
          <w:tcPr>
            <w:tcW w:type="dxa" w:w="3024"/>
            <w:shd w:fill="F9FBFD"/>
            <w:tcMar>
              <w:top w:w="80" w:type="dxa"/>
              <w:bottom w:w="80" w:type="dxa"/>
              <w:left w:w="100" w:type="dxa"/>
              <w:right w:w="100" w:type="dxa"/>
            </w:tcMar>
          </w:tcPr>
          <w:p>
            <w:pPr>
              <w:jc w:val="left"/>
            </w:pPr>
            <w:r>
              <w:rPr>
                <w:rFonts w:ascii="Calibri" w:hAnsi="Calibri"/>
                <w:sz w:val="17"/>
              </w:rPr>
              <w:t>OnlineBackup (Yedekleme Hizmeti)</w:t>
            </w:r>
          </w:p>
        </w:tc>
        <w:tc>
          <w:tcPr>
            <w:tcW w:type="dxa" w:w="1584"/>
            <w:shd w:fill="F9FBFD"/>
            <w:tcMar>
              <w:top w:w="80" w:type="dxa"/>
              <w:bottom w:w="80" w:type="dxa"/>
              <w:left w:w="100" w:type="dxa"/>
              <w:right w:w="100" w:type="dxa"/>
            </w:tcMar>
          </w:tcPr>
          <w:p>
            <w:pPr>
              <w:jc w:val="center"/>
            </w:pPr>
            <w:r>
              <w:rPr>
                <w:rFonts w:ascii="Calibri" w:hAnsi="Calibri"/>
                <w:sz w:val="17"/>
              </w:rPr>
              <w:t>0.0474</w:t>
            </w:r>
          </w:p>
        </w:tc>
      </w:tr>
      <w:tr>
        <w:tc>
          <w:tcPr>
            <w:tcW w:type="dxa" w:w="864"/>
            <w:shd w:fill="FFFFFF"/>
            <w:tcMar>
              <w:top w:w="80" w:type="dxa"/>
              <w:bottom w:w="80" w:type="dxa"/>
              <w:left w:w="100" w:type="dxa"/>
              <w:right w:w="100" w:type="dxa"/>
            </w:tcMar>
          </w:tcPr>
          <w:p>
            <w:pPr>
              <w:jc w:val="center"/>
            </w:pPr>
            <w:r>
              <w:rPr>
                <w:rFonts w:ascii="Calibri" w:hAnsi="Calibri"/>
                <w:sz w:val="17"/>
              </w:rPr>
              <w:t>9</w:t>
            </w:r>
          </w:p>
        </w:tc>
        <w:tc>
          <w:tcPr>
            <w:tcW w:type="dxa" w:w="3024"/>
            <w:shd w:fill="FFFFFF"/>
            <w:tcMar>
              <w:top w:w="80" w:type="dxa"/>
              <w:bottom w:w="80" w:type="dxa"/>
              <w:left w:w="100" w:type="dxa"/>
              <w:right w:w="100" w:type="dxa"/>
            </w:tcMar>
          </w:tcPr>
          <w:p>
            <w:pPr>
              <w:jc w:val="left"/>
            </w:pPr>
            <w:r>
              <w:rPr>
                <w:rFonts w:ascii="Calibri" w:hAnsi="Calibri"/>
                <w:sz w:val="17"/>
              </w:rPr>
              <w:t>TechSupport (Teknik Destek)</w:t>
            </w:r>
          </w:p>
        </w:tc>
        <w:tc>
          <w:tcPr>
            <w:tcW w:type="dxa" w:w="1584"/>
            <w:shd w:fill="FFFFFF"/>
            <w:tcMar>
              <w:top w:w="80" w:type="dxa"/>
              <w:bottom w:w="80" w:type="dxa"/>
              <w:left w:w="100" w:type="dxa"/>
              <w:right w:w="100" w:type="dxa"/>
            </w:tcMar>
          </w:tcPr>
          <w:p>
            <w:pPr>
              <w:jc w:val="center"/>
            </w:pPr>
            <w:r>
              <w:rPr>
                <w:rFonts w:ascii="Calibri" w:hAnsi="Calibri"/>
                <w:sz w:val="17"/>
              </w:rPr>
              <w:t>0.0299</w:t>
            </w:r>
          </w:p>
        </w:tc>
        <w:tc>
          <w:tcPr>
            <w:tcW w:type="dxa" w:w="3024"/>
            <w:shd w:fill="FFFFFF"/>
            <w:tcMar>
              <w:top w:w="80" w:type="dxa"/>
              <w:bottom w:w="80" w:type="dxa"/>
              <w:left w:w="100" w:type="dxa"/>
              <w:right w:w="100" w:type="dxa"/>
            </w:tcMar>
          </w:tcPr>
          <w:p>
            <w:pPr>
              <w:jc w:val="left"/>
            </w:pPr>
            <w:r>
              <w:rPr>
                <w:rFonts w:ascii="Calibri" w:hAnsi="Calibri"/>
                <w:sz w:val="17"/>
              </w:rPr>
              <w:t>InternetService_No (İnternetsiz)</w:t>
            </w:r>
          </w:p>
        </w:tc>
        <w:tc>
          <w:tcPr>
            <w:tcW w:type="dxa" w:w="1584"/>
            <w:shd w:fill="FFFFFF"/>
            <w:tcMar>
              <w:top w:w="80" w:type="dxa"/>
              <w:bottom w:w="80" w:type="dxa"/>
              <w:left w:w="100" w:type="dxa"/>
              <w:right w:w="100" w:type="dxa"/>
            </w:tcMar>
          </w:tcPr>
          <w:p>
            <w:pPr>
              <w:jc w:val="center"/>
            </w:pPr>
            <w:r>
              <w:rPr>
                <w:rFonts w:ascii="Calibri" w:hAnsi="Calibri"/>
                <w:sz w:val="17"/>
              </w:rPr>
              <w:t>0.0472</w:t>
            </w:r>
          </w:p>
        </w:tc>
      </w:tr>
      <w:tr>
        <w:tc>
          <w:tcPr>
            <w:tcW w:type="dxa" w:w="864"/>
            <w:shd w:fill="F9FBFD"/>
            <w:tcMar>
              <w:top w:w="80" w:type="dxa"/>
              <w:bottom w:w="80" w:type="dxa"/>
              <w:left w:w="100" w:type="dxa"/>
              <w:right w:w="100" w:type="dxa"/>
            </w:tcMar>
          </w:tcPr>
          <w:p>
            <w:pPr>
              <w:jc w:val="center"/>
            </w:pPr>
            <w:r>
              <w:rPr>
                <w:rFonts w:ascii="Calibri" w:hAnsi="Calibri"/>
                <w:sz w:val="17"/>
              </w:rPr>
              <w:t>10</w:t>
            </w:r>
          </w:p>
        </w:tc>
        <w:tc>
          <w:tcPr>
            <w:tcW w:type="dxa" w:w="3024"/>
            <w:shd w:fill="F9FBFD"/>
            <w:tcMar>
              <w:top w:w="80" w:type="dxa"/>
              <w:bottom w:w="80" w:type="dxa"/>
              <w:left w:w="100" w:type="dxa"/>
              <w:right w:w="100" w:type="dxa"/>
            </w:tcMar>
          </w:tcPr>
          <w:p>
            <w:pPr>
              <w:jc w:val="left"/>
            </w:pPr>
            <w:r>
              <w:rPr>
                <w:rFonts w:ascii="Calibri" w:hAnsi="Calibri"/>
                <w:sz w:val="17"/>
              </w:rPr>
              <w:t>PaymentMethod_Electronic check</w:t>
            </w:r>
          </w:p>
        </w:tc>
        <w:tc>
          <w:tcPr>
            <w:tcW w:type="dxa" w:w="1584"/>
            <w:shd w:fill="F9FBFD"/>
            <w:tcMar>
              <w:top w:w="80" w:type="dxa"/>
              <w:bottom w:w="80" w:type="dxa"/>
              <w:left w:w="100" w:type="dxa"/>
              <w:right w:w="100" w:type="dxa"/>
            </w:tcMar>
          </w:tcPr>
          <w:p>
            <w:pPr>
              <w:jc w:val="center"/>
            </w:pPr>
            <w:r>
              <w:rPr>
                <w:rFonts w:ascii="Calibri" w:hAnsi="Calibri"/>
                <w:sz w:val="17"/>
              </w:rPr>
              <w:t>0.0219</w:t>
            </w:r>
          </w:p>
        </w:tc>
        <w:tc>
          <w:tcPr>
            <w:tcW w:type="dxa" w:w="3024"/>
            <w:shd w:fill="F9FBFD"/>
            <w:tcMar>
              <w:top w:w="80" w:type="dxa"/>
              <w:bottom w:w="80" w:type="dxa"/>
              <w:left w:w="100" w:type="dxa"/>
              <w:right w:w="100" w:type="dxa"/>
            </w:tcMar>
          </w:tcPr>
          <w:p>
            <w:pPr>
              <w:jc w:val="left"/>
            </w:pPr>
            <w:r>
              <w:rPr>
                <w:rFonts w:ascii="Calibri" w:hAnsi="Calibri"/>
                <w:sz w:val="17"/>
              </w:rPr>
              <w:t>MultipleLines (Çoklu Hat)</w:t>
            </w:r>
          </w:p>
        </w:tc>
        <w:tc>
          <w:tcPr>
            <w:tcW w:type="dxa" w:w="1584"/>
            <w:shd w:fill="F9FBFD"/>
            <w:tcMar>
              <w:top w:w="80" w:type="dxa"/>
              <w:bottom w:w="80" w:type="dxa"/>
              <w:left w:w="100" w:type="dxa"/>
              <w:right w:w="100" w:type="dxa"/>
            </w:tcMar>
          </w:tcPr>
          <w:p>
            <w:pPr>
              <w:jc w:val="center"/>
            </w:pPr>
            <w:r>
              <w:rPr>
                <w:rFonts w:ascii="Calibri" w:hAnsi="Calibri"/>
                <w:sz w:val="17"/>
              </w:rPr>
              <w:t>0.0355</w:t>
            </w:r>
          </w:p>
        </w:tc>
      </w:tr>
    </w:tbl>
    <w:p>
      <w:pPr>
        <w:spacing w:line="276" w:lineRule="auto" w:after="100"/>
        <w:ind w:firstLine="360"/>
      </w:pPr>
      <w:r>
        <w:rPr>
          <w:rFonts w:ascii="Calibri" w:hAnsi="Calibri"/>
          <w:sz w:val="20"/>
        </w:rPr>
        <w:t>Analiz Sonucu: Random Forest modeli, kararlarını verirken süre (tenure), taahhüt güvencesi (Contract), fiber internet ve ek hizmetler arasında son derece dengeli ve çok boyutlu bir ilişki kurmuştur. MLP derin öğrenme modeli ise ağırlıklı olarak aylık fatura miktarı (MonthlyCharges, |SHAP|=0.2617) üzerine odaklanmıştır. Bu bulgu, topluluk ağaçlarının kurumsal karar alıcılar için neden daha gerçekçi ve çok yönlü tutundurma stratejileri sunduğunu açıklamaktadır.</w:t>
      </w:r>
    </w:p>
    <w:p>
      <w:pPr>
        <w:keepNext/>
        <w:spacing w:before="200" w:after="60"/>
      </w:pPr>
      <w:r>
        <w:rPr>
          <w:rFonts w:ascii="Calibri" w:hAnsi="Calibri"/>
          <w:b/>
          <w:color w:val="1E4678"/>
          <w:sz w:val="22"/>
        </w:rPr>
        <w:t>3.3. Tekil (Local) Müşteri Vaka Analizleri ve Karar Açıklaması</w:t>
      </w:r>
    </w:p>
    <w:p>
      <w:pPr>
        <w:spacing w:line="276" w:lineRule="auto" w:after="100"/>
        <w:ind w:firstLine="360"/>
      </w:pPr>
      <w:r>
        <w:rPr>
          <w:rFonts w:ascii="Calibri" w:hAnsi="Calibri"/>
          <w:sz w:val="20"/>
        </w:rPr>
        <w:t>Modellerin bireysel müşteri kararlarını nasıl oluşturduğunu somutlaştırmak üzere test veri setinden biri fiilen ayrılan (Churn=1), diğeri fiilen kalan (Churn=0) iki gerçek müşteri örneği seçilmiş ve karar katkıları incelenmiştir:</w:t>
      </w:r>
    </w:p>
    <w:p>
      <w:pPr>
        <w:spacing w:before="120" w:after="60"/>
      </w:pPr>
      <w:r>
        <w:rPr>
          <w:rFonts w:ascii="Calibri" w:hAnsi="Calibri"/>
          <w:b/>
          <w:color w:val="A01414"/>
          <w:sz w:val="20"/>
        </w:rPr>
        <w:t>Tablo 4. Vaka 1: Yüksek Riskli ve Ayrılan Müşterinin (Test İndeksi: 15, Churn=1) Yerel SHAP Karar Dağılımı</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930"/>
        <w:gridCol w:w="1930"/>
        <w:gridCol w:w="1930"/>
        <w:gridCol w:w="1930"/>
        <w:gridCol w:w="1930"/>
      </w:tblGrid>
      <w:tr>
        <w:tc>
          <w:tcPr>
            <w:tcW w:type="dxa" w:w="2592"/>
            <w:shd w:fill="8B0000"/>
            <w:tcMar>
              <w:top w:w="100" w:type="dxa"/>
              <w:bottom w:w="100" w:type="dxa"/>
              <w:left w:w="100" w:type="dxa"/>
              <w:right w:w="100" w:type="dxa"/>
            </w:tcMar>
          </w:tcPr>
          <w:p>
            <w:pPr>
              <w:jc w:val="center"/>
            </w:pPr>
            <w:r>
              <w:rPr>
                <w:rFonts w:ascii="Calibri" w:hAnsi="Calibri"/>
                <w:b/>
                <w:color w:val="FFFFFF"/>
                <w:sz w:val="18"/>
              </w:rPr>
              <w:t>Öznitelik Adı</w:t>
            </w:r>
          </w:p>
        </w:tc>
        <w:tc>
          <w:tcPr>
            <w:tcW w:type="dxa" w:w="1584"/>
            <w:shd w:fill="8B0000"/>
            <w:tcMar>
              <w:top w:w="100" w:type="dxa"/>
              <w:bottom w:w="100" w:type="dxa"/>
              <w:left w:w="100" w:type="dxa"/>
              <w:right w:w="100" w:type="dxa"/>
            </w:tcMar>
          </w:tcPr>
          <w:p>
            <w:pPr>
              <w:jc w:val="center"/>
            </w:pPr>
            <w:r>
              <w:rPr>
                <w:rFonts w:ascii="Calibri" w:hAnsi="Calibri"/>
                <w:b/>
                <w:color w:val="FFFFFF"/>
                <w:sz w:val="18"/>
              </w:rPr>
              <w:t>Müşteri Değeri</w:t>
            </w:r>
          </w:p>
        </w:tc>
        <w:tc>
          <w:tcPr>
            <w:tcW w:type="dxa" w:w="1584"/>
            <w:shd w:fill="8B0000"/>
            <w:tcMar>
              <w:top w:w="100" w:type="dxa"/>
              <w:bottom w:w="100" w:type="dxa"/>
              <w:left w:w="100" w:type="dxa"/>
              <w:right w:w="100" w:type="dxa"/>
            </w:tcMar>
          </w:tcPr>
          <w:p>
            <w:pPr>
              <w:jc w:val="center"/>
            </w:pPr>
            <w:r>
              <w:rPr>
                <w:rFonts w:ascii="Calibri" w:hAnsi="Calibri"/>
                <w:b/>
                <w:color w:val="FFFFFF"/>
                <w:sz w:val="18"/>
              </w:rPr>
              <w:t>RF SHAP Katkısı</w:t>
            </w:r>
          </w:p>
        </w:tc>
        <w:tc>
          <w:tcPr>
            <w:tcW w:type="dxa" w:w="1584"/>
            <w:shd w:fill="8B0000"/>
            <w:tcMar>
              <w:top w:w="100" w:type="dxa"/>
              <w:bottom w:w="100" w:type="dxa"/>
              <w:left w:w="100" w:type="dxa"/>
              <w:right w:w="100" w:type="dxa"/>
            </w:tcMar>
          </w:tcPr>
          <w:p>
            <w:pPr>
              <w:jc w:val="center"/>
            </w:pPr>
            <w:r>
              <w:rPr>
                <w:rFonts w:ascii="Calibri" w:hAnsi="Calibri"/>
                <w:b/>
                <w:color w:val="FFFFFF"/>
                <w:sz w:val="18"/>
              </w:rPr>
              <w:t>MLP SHAP Katkısı</w:t>
            </w:r>
          </w:p>
        </w:tc>
        <w:tc>
          <w:tcPr>
            <w:tcW w:type="dxa" w:w="2304"/>
            <w:shd w:fill="8B0000"/>
            <w:tcMar>
              <w:top w:w="100" w:type="dxa"/>
              <w:bottom w:w="100" w:type="dxa"/>
              <w:left w:w="100" w:type="dxa"/>
              <w:right w:w="100" w:type="dxa"/>
            </w:tcMar>
          </w:tcPr>
          <w:p>
            <w:pPr>
              <w:jc w:val="center"/>
            </w:pPr>
            <w:r>
              <w:rPr>
                <w:rFonts w:ascii="Calibri" w:hAnsi="Calibri"/>
                <w:b/>
                <w:color w:val="FFFFFF"/>
                <w:sz w:val="18"/>
              </w:rPr>
              <w:t>Yön ve Etki Anlamı</w:t>
            </w:r>
          </w:p>
        </w:tc>
      </w:tr>
      <w:tr>
        <w:tc>
          <w:tcPr>
            <w:tcW w:type="dxa" w:w="2592"/>
            <w:shd w:fill="FFFFFF"/>
            <w:tcMar>
              <w:top w:w="80" w:type="dxa"/>
              <w:bottom w:w="80" w:type="dxa"/>
              <w:left w:w="100" w:type="dxa"/>
              <w:right w:w="100" w:type="dxa"/>
            </w:tcMar>
          </w:tcPr>
          <w:p>
            <w:pPr>
              <w:jc w:val="left"/>
            </w:pPr>
            <w:r>
              <w:rPr>
                <w:rFonts w:ascii="Calibri" w:hAnsi="Calibri"/>
                <w:sz w:val="17"/>
              </w:rPr>
              <w:t>tenure (Abonelik Süresi)</w:t>
            </w:r>
          </w:p>
        </w:tc>
        <w:tc>
          <w:tcPr>
            <w:tcW w:type="dxa" w:w="1584"/>
            <w:shd w:fill="FFFFFF"/>
            <w:tcMar>
              <w:top w:w="80" w:type="dxa"/>
              <w:bottom w:w="80" w:type="dxa"/>
              <w:left w:w="100" w:type="dxa"/>
              <w:right w:w="100" w:type="dxa"/>
            </w:tcMar>
          </w:tcPr>
          <w:p>
            <w:pPr>
              <w:jc w:val="center"/>
            </w:pPr>
            <w:r>
              <w:rPr>
                <w:rFonts w:ascii="Calibri" w:hAnsi="Calibri"/>
                <w:sz w:val="17"/>
              </w:rPr>
              <w:t>2 Ay</w:t>
            </w:r>
          </w:p>
        </w:tc>
        <w:tc>
          <w:tcPr>
            <w:tcW w:type="dxa" w:w="1584"/>
            <w:shd w:fill="FFFFFF"/>
            <w:tcMar>
              <w:top w:w="80" w:type="dxa"/>
              <w:bottom w:w="80" w:type="dxa"/>
              <w:left w:w="100" w:type="dxa"/>
              <w:right w:w="100" w:type="dxa"/>
            </w:tcMar>
          </w:tcPr>
          <w:p>
            <w:pPr>
              <w:jc w:val="center"/>
            </w:pPr>
            <w:r>
              <w:rPr>
                <w:rFonts w:ascii="Calibri" w:hAnsi="Calibri"/>
                <w:b/>
                <w:color w:val="A01414"/>
                <w:sz w:val="17"/>
              </w:rPr>
              <w:t>+0.1072</w:t>
            </w:r>
          </w:p>
        </w:tc>
        <w:tc>
          <w:tcPr>
            <w:tcW w:type="dxa" w:w="1584"/>
            <w:shd w:fill="FFFFFF"/>
            <w:tcMar>
              <w:top w:w="80" w:type="dxa"/>
              <w:bottom w:w="80" w:type="dxa"/>
              <w:left w:w="100" w:type="dxa"/>
              <w:right w:w="100" w:type="dxa"/>
            </w:tcMar>
          </w:tcPr>
          <w:p>
            <w:pPr>
              <w:jc w:val="center"/>
            </w:pPr>
            <w:r>
              <w:rPr>
                <w:rFonts w:ascii="Calibri" w:hAnsi="Calibri"/>
                <w:b/>
                <w:color w:val="A01414"/>
                <w:sz w:val="17"/>
              </w:rPr>
              <w:t>+0.1393</w:t>
            </w:r>
          </w:p>
        </w:tc>
        <w:tc>
          <w:tcPr>
            <w:tcW w:type="dxa" w:w="2304"/>
            <w:shd w:fill="FFFFFF"/>
            <w:tcMar>
              <w:top w:w="80" w:type="dxa"/>
              <w:bottom w:w="80" w:type="dxa"/>
              <w:left w:w="100" w:type="dxa"/>
              <w:right w:w="100" w:type="dxa"/>
            </w:tcMar>
          </w:tcPr>
          <w:p>
            <w:pPr>
              <w:jc w:val="left"/>
            </w:pPr>
            <w:r>
              <w:rPr>
                <w:rFonts w:ascii="Calibri" w:hAnsi="Calibri"/>
                <w:sz w:val="17"/>
              </w:rPr>
              <w:t>Kısa üyelik riski keskin biçimde artırıyor</w:t>
            </w:r>
          </w:p>
        </w:tc>
      </w:tr>
      <w:tr>
        <w:tc>
          <w:tcPr>
            <w:tcW w:type="dxa" w:w="2592"/>
            <w:shd w:fill="FDF7F7"/>
            <w:tcMar>
              <w:top w:w="80" w:type="dxa"/>
              <w:bottom w:w="80" w:type="dxa"/>
              <w:left w:w="100" w:type="dxa"/>
              <w:right w:w="100" w:type="dxa"/>
            </w:tcMar>
          </w:tcPr>
          <w:p>
            <w:pPr>
              <w:jc w:val="left"/>
            </w:pPr>
            <w:r>
              <w:rPr>
                <w:rFonts w:ascii="Calibri" w:hAnsi="Calibri"/>
                <w:sz w:val="17"/>
              </w:rPr>
              <w:t>MonthlyCharges (Aylık Fatura)</w:t>
            </w:r>
          </w:p>
        </w:tc>
        <w:tc>
          <w:tcPr>
            <w:tcW w:type="dxa" w:w="1584"/>
            <w:shd w:fill="FDF7F7"/>
            <w:tcMar>
              <w:top w:w="80" w:type="dxa"/>
              <w:bottom w:w="80" w:type="dxa"/>
              <w:left w:w="100" w:type="dxa"/>
              <w:right w:w="100" w:type="dxa"/>
            </w:tcMar>
          </w:tcPr>
          <w:p>
            <w:pPr>
              <w:jc w:val="center"/>
            </w:pPr>
            <w:r>
              <w:rPr>
                <w:rFonts w:ascii="Calibri" w:hAnsi="Calibri"/>
                <w:sz w:val="17"/>
              </w:rPr>
              <w:t>90.40 $</w:t>
            </w:r>
          </w:p>
        </w:tc>
        <w:tc>
          <w:tcPr>
            <w:tcW w:type="dxa" w:w="1584"/>
            <w:shd w:fill="FDF7F7"/>
            <w:tcMar>
              <w:top w:w="80" w:type="dxa"/>
              <w:bottom w:w="80" w:type="dxa"/>
              <w:left w:w="100" w:type="dxa"/>
              <w:right w:w="100" w:type="dxa"/>
            </w:tcMar>
          </w:tcPr>
          <w:p>
            <w:pPr>
              <w:jc w:val="center"/>
            </w:pPr>
            <w:r>
              <w:rPr>
                <w:rFonts w:ascii="Calibri" w:hAnsi="Calibri"/>
                <w:b/>
                <w:color w:val="A01414"/>
                <w:sz w:val="17"/>
              </w:rPr>
              <w:t>+0.0384</w:t>
            </w:r>
          </w:p>
        </w:tc>
        <w:tc>
          <w:tcPr>
            <w:tcW w:type="dxa" w:w="1584"/>
            <w:shd w:fill="FDF7F7"/>
            <w:tcMar>
              <w:top w:w="80" w:type="dxa"/>
              <w:bottom w:w="80" w:type="dxa"/>
              <w:left w:w="100" w:type="dxa"/>
              <w:right w:w="100" w:type="dxa"/>
            </w:tcMar>
          </w:tcPr>
          <w:p>
            <w:pPr>
              <w:jc w:val="center"/>
            </w:pPr>
            <w:r>
              <w:rPr>
                <w:rFonts w:ascii="Calibri" w:hAnsi="Calibri"/>
                <w:b/>
                <w:color w:val="A01414"/>
                <w:sz w:val="17"/>
              </w:rPr>
              <w:t>+0.3560</w:t>
            </w:r>
          </w:p>
        </w:tc>
        <w:tc>
          <w:tcPr>
            <w:tcW w:type="dxa" w:w="2304"/>
            <w:shd w:fill="FDF7F7"/>
            <w:tcMar>
              <w:top w:w="80" w:type="dxa"/>
              <w:bottom w:w="80" w:type="dxa"/>
              <w:left w:w="100" w:type="dxa"/>
              <w:right w:w="100" w:type="dxa"/>
            </w:tcMar>
          </w:tcPr>
          <w:p>
            <w:pPr>
              <w:jc w:val="left"/>
            </w:pPr>
            <w:r>
              <w:rPr>
                <w:rFonts w:ascii="Calibri" w:hAnsi="Calibri"/>
                <w:sz w:val="17"/>
              </w:rPr>
              <w:t>Yüksek fatura terk kararını tetikliyor</w:t>
            </w:r>
          </w:p>
        </w:tc>
      </w:tr>
      <w:tr>
        <w:tc>
          <w:tcPr>
            <w:tcW w:type="dxa" w:w="2592"/>
            <w:shd w:fill="FFFFFF"/>
            <w:tcMar>
              <w:top w:w="80" w:type="dxa"/>
              <w:bottom w:w="80" w:type="dxa"/>
              <w:left w:w="100" w:type="dxa"/>
              <w:right w:w="100" w:type="dxa"/>
            </w:tcMar>
          </w:tcPr>
          <w:p>
            <w:pPr>
              <w:jc w:val="left"/>
            </w:pPr>
            <w:r>
              <w:rPr>
                <w:rFonts w:ascii="Calibri" w:hAnsi="Calibri"/>
                <w:sz w:val="17"/>
              </w:rPr>
              <w:t>InternetService_Fiber optic</w:t>
            </w:r>
          </w:p>
        </w:tc>
        <w:tc>
          <w:tcPr>
            <w:tcW w:type="dxa" w:w="1584"/>
            <w:shd w:fill="FFFFFF"/>
            <w:tcMar>
              <w:top w:w="80" w:type="dxa"/>
              <w:bottom w:w="80" w:type="dxa"/>
              <w:left w:w="100" w:type="dxa"/>
              <w:right w:w="100" w:type="dxa"/>
            </w:tcMar>
          </w:tcPr>
          <w:p>
            <w:pPr>
              <w:jc w:val="center"/>
            </w:pPr>
            <w:r>
              <w:rPr>
                <w:rFonts w:ascii="Calibri" w:hAnsi="Calibri"/>
                <w:sz w:val="17"/>
              </w:rPr>
              <w:t>1 (Var)</w:t>
            </w:r>
          </w:p>
        </w:tc>
        <w:tc>
          <w:tcPr>
            <w:tcW w:type="dxa" w:w="1584"/>
            <w:shd w:fill="FFFFFF"/>
            <w:tcMar>
              <w:top w:w="80" w:type="dxa"/>
              <w:bottom w:w="80" w:type="dxa"/>
              <w:left w:w="100" w:type="dxa"/>
              <w:right w:w="100" w:type="dxa"/>
            </w:tcMar>
          </w:tcPr>
          <w:p>
            <w:pPr>
              <w:jc w:val="center"/>
            </w:pPr>
            <w:r>
              <w:rPr>
                <w:rFonts w:ascii="Calibri" w:hAnsi="Calibri"/>
                <w:b/>
                <w:color w:val="A01414"/>
                <w:sz w:val="17"/>
              </w:rPr>
              <w:t>+0.0591</w:t>
            </w:r>
          </w:p>
        </w:tc>
        <w:tc>
          <w:tcPr>
            <w:tcW w:type="dxa" w:w="1584"/>
            <w:shd w:fill="FFFFFF"/>
            <w:tcMar>
              <w:top w:w="80" w:type="dxa"/>
              <w:bottom w:w="80" w:type="dxa"/>
              <w:left w:w="100" w:type="dxa"/>
              <w:right w:w="100" w:type="dxa"/>
            </w:tcMar>
          </w:tcPr>
          <w:p>
            <w:pPr>
              <w:jc w:val="center"/>
            </w:pPr>
            <w:r>
              <w:rPr>
                <w:rFonts w:ascii="Calibri" w:hAnsi="Calibri"/>
                <w:sz w:val="17"/>
              </w:rPr>
              <w:t>-0.0888</w:t>
            </w:r>
          </w:p>
        </w:tc>
        <w:tc>
          <w:tcPr>
            <w:tcW w:type="dxa" w:w="2304"/>
            <w:shd w:fill="FFFFFF"/>
            <w:tcMar>
              <w:top w:w="80" w:type="dxa"/>
              <w:bottom w:w="80" w:type="dxa"/>
              <w:left w:w="100" w:type="dxa"/>
              <w:right w:w="100" w:type="dxa"/>
            </w:tcMar>
          </w:tcPr>
          <w:p>
            <w:pPr>
              <w:jc w:val="left"/>
            </w:pPr>
            <w:r>
              <w:rPr>
                <w:rFonts w:ascii="Calibri" w:hAnsi="Calibri"/>
                <w:sz w:val="17"/>
              </w:rPr>
              <w:t>Fiber beklentisi ve yüksek maliyet</w:t>
            </w:r>
          </w:p>
        </w:tc>
      </w:tr>
      <w:tr>
        <w:tc>
          <w:tcPr>
            <w:tcW w:type="dxa" w:w="2592"/>
            <w:shd w:fill="FDF7F7"/>
            <w:tcMar>
              <w:top w:w="80" w:type="dxa"/>
              <w:bottom w:w="80" w:type="dxa"/>
              <w:left w:w="100" w:type="dxa"/>
              <w:right w:w="100" w:type="dxa"/>
            </w:tcMar>
          </w:tcPr>
          <w:p>
            <w:pPr>
              <w:jc w:val="left"/>
            </w:pPr>
            <w:r>
              <w:rPr>
                <w:rFonts w:ascii="Calibri" w:hAnsi="Calibri"/>
                <w:sz w:val="17"/>
              </w:rPr>
              <w:t>Contract_Two year / One year</w:t>
            </w:r>
          </w:p>
        </w:tc>
        <w:tc>
          <w:tcPr>
            <w:tcW w:type="dxa" w:w="1584"/>
            <w:shd w:fill="FDF7F7"/>
            <w:tcMar>
              <w:top w:w="80" w:type="dxa"/>
              <w:bottom w:w="80" w:type="dxa"/>
              <w:left w:w="100" w:type="dxa"/>
              <w:right w:w="100" w:type="dxa"/>
            </w:tcMar>
          </w:tcPr>
          <w:p>
            <w:pPr>
              <w:jc w:val="center"/>
            </w:pPr>
            <w:r>
              <w:rPr>
                <w:rFonts w:ascii="Calibri" w:hAnsi="Calibri"/>
                <w:sz w:val="17"/>
              </w:rPr>
              <w:t>0 (Taahhütsüz)</w:t>
            </w:r>
          </w:p>
        </w:tc>
        <w:tc>
          <w:tcPr>
            <w:tcW w:type="dxa" w:w="1584"/>
            <w:shd w:fill="FDF7F7"/>
            <w:tcMar>
              <w:top w:w="80" w:type="dxa"/>
              <w:bottom w:w="80" w:type="dxa"/>
              <w:left w:w="100" w:type="dxa"/>
              <w:right w:w="100" w:type="dxa"/>
            </w:tcMar>
          </w:tcPr>
          <w:p>
            <w:pPr>
              <w:jc w:val="center"/>
            </w:pPr>
            <w:r>
              <w:rPr>
                <w:rFonts w:ascii="Calibri" w:hAnsi="Calibri"/>
                <w:b/>
                <w:color w:val="A01414"/>
                <w:sz w:val="17"/>
              </w:rPr>
              <w:t>+0.0714</w:t>
            </w:r>
          </w:p>
        </w:tc>
        <w:tc>
          <w:tcPr>
            <w:tcW w:type="dxa" w:w="1584"/>
            <w:shd w:fill="FDF7F7"/>
            <w:tcMar>
              <w:top w:w="80" w:type="dxa"/>
              <w:bottom w:w="80" w:type="dxa"/>
              <w:left w:w="100" w:type="dxa"/>
              <w:right w:w="100" w:type="dxa"/>
            </w:tcMar>
          </w:tcPr>
          <w:p>
            <w:pPr>
              <w:jc w:val="center"/>
            </w:pPr>
            <w:r>
              <w:rPr>
                <w:rFonts w:ascii="Calibri" w:hAnsi="Calibri"/>
                <w:b/>
                <w:color w:val="A01414"/>
                <w:sz w:val="17"/>
              </w:rPr>
              <w:t>+0.1467</w:t>
            </w:r>
          </w:p>
        </w:tc>
        <w:tc>
          <w:tcPr>
            <w:tcW w:type="dxa" w:w="2304"/>
            <w:shd w:fill="FDF7F7"/>
            <w:tcMar>
              <w:top w:w="80" w:type="dxa"/>
              <w:bottom w:w="80" w:type="dxa"/>
              <w:left w:w="100" w:type="dxa"/>
              <w:right w:w="100" w:type="dxa"/>
            </w:tcMar>
          </w:tcPr>
          <w:p>
            <w:pPr>
              <w:jc w:val="left"/>
            </w:pPr>
            <w:r>
              <w:rPr>
                <w:rFonts w:ascii="Calibri" w:hAnsi="Calibri"/>
                <w:sz w:val="17"/>
              </w:rPr>
              <w:t>Sözleşmesizlik ayrılmayı kolaylaştırıyor</w:t>
            </w:r>
          </w:p>
        </w:tc>
      </w:tr>
      <w:tr>
        <w:tc>
          <w:tcPr>
            <w:tcW w:type="dxa" w:w="2592"/>
            <w:shd w:fill="FFFFFF"/>
            <w:tcMar>
              <w:top w:w="80" w:type="dxa"/>
              <w:bottom w:w="80" w:type="dxa"/>
              <w:left w:w="100" w:type="dxa"/>
              <w:right w:w="100" w:type="dxa"/>
            </w:tcMar>
          </w:tcPr>
          <w:p>
            <w:pPr>
              <w:jc w:val="left"/>
            </w:pPr>
            <w:r>
              <w:rPr>
                <w:rFonts w:ascii="Calibri" w:hAnsi="Calibri"/>
                <w:sz w:val="17"/>
              </w:rPr>
              <w:t>TotalCharges (Toplam Ücret)</w:t>
            </w:r>
          </w:p>
        </w:tc>
        <w:tc>
          <w:tcPr>
            <w:tcW w:type="dxa" w:w="1584"/>
            <w:shd w:fill="FFFFFF"/>
            <w:tcMar>
              <w:top w:w="80" w:type="dxa"/>
              <w:bottom w:w="80" w:type="dxa"/>
              <w:left w:w="100" w:type="dxa"/>
              <w:right w:w="100" w:type="dxa"/>
            </w:tcMar>
          </w:tcPr>
          <w:p>
            <w:pPr>
              <w:jc w:val="center"/>
            </w:pPr>
            <w:r>
              <w:rPr>
                <w:rFonts w:ascii="Calibri" w:hAnsi="Calibri"/>
                <w:sz w:val="17"/>
              </w:rPr>
              <w:t>168.20 $</w:t>
            </w:r>
          </w:p>
        </w:tc>
        <w:tc>
          <w:tcPr>
            <w:tcW w:type="dxa" w:w="1584"/>
            <w:shd w:fill="FFFFFF"/>
            <w:tcMar>
              <w:top w:w="80" w:type="dxa"/>
              <w:bottom w:w="80" w:type="dxa"/>
              <w:left w:w="100" w:type="dxa"/>
              <w:right w:w="100" w:type="dxa"/>
            </w:tcMar>
          </w:tcPr>
          <w:p>
            <w:pPr>
              <w:jc w:val="center"/>
            </w:pPr>
            <w:r>
              <w:rPr>
                <w:rFonts w:ascii="Calibri" w:hAnsi="Calibri"/>
                <w:b/>
                <w:color w:val="A01414"/>
                <w:sz w:val="17"/>
              </w:rPr>
              <w:t>+0.0520</w:t>
            </w:r>
          </w:p>
        </w:tc>
        <w:tc>
          <w:tcPr>
            <w:tcW w:type="dxa" w:w="1584"/>
            <w:shd w:fill="FFFFFF"/>
            <w:tcMar>
              <w:top w:w="80" w:type="dxa"/>
              <w:bottom w:w="80" w:type="dxa"/>
              <w:left w:w="100" w:type="dxa"/>
              <w:right w:w="100" w:type="dxa"/>
            </w:tcMar>
          </w:tcPr>
          <w:p>
            <w:pPr>
              <w:jc w:val="center"/>
            </w:pPr>
            <w:r>
              <w:rPr>
                <w:rFonts w:ascii="Calibri" w:hAnsi="Calibri"/>
                <w:b/>
                <w:color w:val="A01414"/>
                <w:sz w:val="17"/>
              </w:rPr>
              <w:t>+0.0152</w:t>
            </w:r>
          </w:p>
        </w:tc>
        <w:tc>
          <w:tcPr>
            <w:tcW w:type="dxa" w:w="2304"/>
            <w:shd w:fill="FFFFFF"/>
            <w:tcMar>
              <w:top w:w="80" w:type="dxa"/>
              <w:bottom w:w="80" w:type="dxa"/>
              <w:left w:w="100" w:type="dxa"/>
              <w:right w:w="100" w:type="dxa"/>
            </w:tcMar>
          </w:tcPr>
          <w:p>
            <w:pPr>
              <w:jc w:val="left"/>
            </w:pPr>
            <w:r>
              <w:rPr>
                <w:rFonts w:ascii="Calibri" w:hAnsi="Calibri"/>
                <w:sz w:val="17"/>
              </w:rPr>
              <w:t>Yeni abonenin ilk fatura birikimi</w:t>
            </w:r>
          </w:p>
        </w:tc>
      </w:tr>
      <w:tr>
        <w:tc>
          <w:tcPr>
            <w:tcW w:type="dxa" w:w="2592"/>
            <w:shd w:fill="FDF7F7"/>
            <w:tcMar>
              <w:top w:w="80" w:type="dxa"/>
              <w:bottom w:w="80" w:type="dxa"/>
              <w:left w:w="100" w:type="dxa"/>
              <w:right w:w="100" w:type="dxa"/>
            </w:tcMar>
          </w:tcPr>
          <w:p>
            <w:pPr>
              <w:jc w:val="left"/>
            </w:pPr>
            <w:r>
              <w:rPr>
                <w:rFonts w:ascii="Calibri" w:hAnsi="Calibri"/>
                <w:sz w:val="17"/>
              </w:rPr>
              <w:t>PaymentMethod_Electronic check</w:t>
            </w:r>
          </w:p>
        </w:tc>
        <w:tc>
          <w:tcPr>
            <w:tcW w:type="dxa" w:w="1584"/>
            <w:shd w:fill="FDF7F7"/>
            <w:tcMar>
              <w:top w:w="80" w:type="dxa"/>
              <w:bottom w:w="80" w:type="dxa"/>
              <w:left w:w="100" w:type="dxa"/>
              <w:right w:w="100" w:type="dxa"/>
            </w:tcMar>
          </w:tcPr>
          <w:p>
            <w:pPr>
              <w:jc w:val="center"/>
            </w:pPr>
            <w:r>
              <w:rPr>
                <w:rFonts w:ascii="Calibri" w:hAnsi="Calibri"/>
                <w:sz w:val="17"/>
              </w:rPr>
              <w:t>1 (Elektronik Çek)</w:t>
            </w:r>
          </w:p>
        </w:tc>
        <w:tc>
          <w:tcPr>
            <w:tcW w:type="dxa" w:w="1584"/>
            <w:shd w:fill="FDF7F7"/>
            <w:tcMar>
              <w:top w:w="80" w:type="dxa"/>
              <w:bottom w:w="80" w:type="dxa"/>
              <w:left w:w="100" w:type="dxa"/>
              <w:right w:w="100" w:type="dxa"/>
            </w:tcMar>
          </w:tcPr>
          <w:p>
            <w:pPr>
              <w:jc w:val="center"/>
            </w:pPr>
            <w:r>
              <w:rPr>
                <w:rFonts w:ascii="Calibri" w:hAnsi="Calibri"/>
                <w:b/>
                <w:color w:val="A01414"/>
                <w:sz w:val="17"/>
              </w:rPr>
              <w:t>+0.0287</w:t>
            </w:r>
          </w:p>
        </w:tc>
        <w:tc>
          <w:tcPr>
            <w:tcW w:type="dxa" w:w="1584"/>
            <w:shd w:fill="FDF7F7"/>
            <w:tcMar>
              <w:top w:w="80" w:type="dxa"/>
              <w:bottom w:w="80" w:type="dxa"/>
              <w:left w:w="100" w:type="dxa"/>
              <w:right w:w="100" w:type="dxa"/>
            </w:tcMar>
          </w:tcPr>
          <w:p>
            <w:pPr>
              <w:jc w:val="center"/>
            </w:pPr>
            <w:r>
              <w:rPr>
                <w:rFonts w:ascii="Calibri" w:hAnsi="Calibri"/>
                <w:b/>
                <w:color w:val="A01414"/>
                <w:sz w:val="17"/>
              </w:rPr>
              <w:t>+0.0125</w:t>
            </w:r>
          </w:p>
        </w:tc>
        <w:tc>
          <w:tcPr>
            <w:tcW w:type="dxa" w:w="2304"/>
            <w:shd w:fill="FDF7F7"/>
            <w:tcMar>
              <w:top w:w="80" w:type="dxa"/>
              <w:bottom w:w="80" w:type="dxa"/>
              <w:left w:w="100" w:type="dxa"/>
              <w:right w:w="100" w:type="dxa"/>
            </w:tcMar>
          </w:tcPr>
          <w:p>
            <w:pPr>
              <w:jc w:val="left"/>
            </w:pPr>
            <w:r>
              <w:rPr>
                <w:rFonts w:ascii="Calibri" w:hAnsi="Calibri"/>
                <w:sz w:val="17"/>
              </w:rPr>
              <w:t>Churn eğilimi en yüksek ödeme tipi</w:t>
            </w:r>
          </w:p>
        </w:tc>
      </w:tr>
    </w:tbl>
    <w:p>
      <w:pPr>
        <w:spacing w:line="276" w:lineRule="auto" w:after="100"/>
        <w:ind w:firstLine="360"/>
      </w:pPr>
      <w:r>
        <w:rPr>
          <w:rFonts w:ascii="Calibri" w:hAnsi="Calibri"/>
          <w:sz w:val="20"/>
        </w:rPr>
        <w:t>Vaka 1 Tahminleri: Random Forest bu müşteri için %99.3 Churn Olasılığı, MLP modeli ise %88.5 Churn Olasılığı vermiştir. Her iki model de müşterinin henüz 2. ayında olması, 90.40 $ gibi çok yüksek bir fatura ödemesi ve bağlayıcı taahhüdünün bulunmamasını birincil terk nedeni olarak teşhis etmiştir.</w:t>
      </w:r>
    </w:p>
    <w:p>
      <w:pPr>
        <w:spacing w:before="120" w:after="60"/>
      </w:pPr>
      <w:r>
        <w:rPr>
          <w:rFonts w:ascii="Calibri" w:hAnsi="Calibri"/>
          <w:b/>
          <w:color w:val="006400"/>
          <w:sz w:val="20"/>
        </w:rPr>
        <w:t>Tablo 5. Vaka 2: Düşük Riskli ve Kalan Müşterinin (Test İndeksi: 24, Churn=0) Yerel SHAP Karar Dağılımı</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930"/>
        <w:gridCol w:w="1930"/>
        <w:gridCol w:w="1930"/>
        <w:gridCol w:w="1930"/>
        <w:gridCol w:w="1930"/>
      </w:tblGrid>
      <w:tr>
        <w:tc>
          <w:tcPr>
            <w:tcW w:type="dxa" w:w="2592"/>
            <w:shd w:fill="006400"/>
            <w:tcMar>
              <w:top w:w="100" w:type="dxa"/>
              <w:bottom w:w="100" w:type="dxa"/>
              <w:left w:w="100" w:type="dxa"/>
              <w:right w:w="100" w:type="dxa"/>
            </w:tcMar>
          </w:tcPr>
          <w:p>
            <w:pPr>
              <w:jc w:val="center"/>
            </w:pPr>
            <w:r>
              <w:rPr>
                <w:rFonts w:ascii="Calibri" w:hAnsi="Calibri"/>
                <w:b/>
                <w:color w:val="FFFFFF"/>
                <w:sz w:val="18"/>
              </w:rPr>
              <w:t>Öznitelik Adı</w:t>
            </w:r>
          </w:p>
        </w:tc>
        <w:tc>
          <w:tcPr>
            <w:tcW w:type="dxa" w:w="1584"/>
            <w:shd w:fill="006400"/>
            <w:tcMar>
              <w:top w:w="100" w:type="dxa"/>
              <w:bottom w:w="100" w:type="dxa"/>
              <w:left w:w="100" w:type="dxa"/>
              <w:right w:w="100" w:type="dxa"/>
            </w:tcMar>
          </w:tcPr>
          <w:p>
            <w:pPr>
              <w:jc w:val="center"/>
            </w:pPr>
            <w:r>
              <w:rPr>
                <w:rFonts w:ascii="Calibri" w:hAnsi="Calibri"/>
                <w:b/>
                <w:color w:val="FFFFFF"/>
                <w:sz w:val="18"/>
              </w:rPr>
              <w:t>Müşteri Değeri</w:t>
            </w:r>
          </w:p>
        </w:tc>
        <w:tc>
          <w:tcPr>
            <w:tcW w:type="dxa" w:w="1584"/>
            <w:shd w:fill="006400"/>
            <w:tcMar>
              <w:top w:w="100" w:type="dxa"/>
              <w:bottom w:w="100" w:type="dxa"/>
              <w:left w:w="100" w:type="dxa"/>
              <w:right w:w="100" w:type="dxa"/>
            </w:tcMar>
          </w:tcPr>
          <w:p>
            <w:pPr>
              <w:jc w:val="center"/>
            </w:pPr>
            <w:r>
              <w:rPr>
                <w:rFonts w:ascii="Calibri" w:hAnsi="Calibri"/>
                <w:b/>
                <w:color w:val="FFFFFF"/>
                <w:sz w:val="18"/>
              </w:rPr>
              <w:t>RF SHAP Katkısı</w:t>
            </w:r>
          </w:p>
        </w:tc>
        <w:tc>
          <w:tcPr>
            <w:tcW w:type="dxa" w:w="1584"/>
            <w:shd w:fill="006400"/>
            <w:tcMar>
              <w:top w:w="100" w:type="dxa"/>
              <w:bottom w:w="100" w:type="dxa"/>
              <w:left w:w="100" w:type="dxa"/>
              <w:right w:w="100" w:type="dxa"/>
            </w:tcMar>
          </w:tcPr>
          <w:p>
            <w:pPr>
              <w:jc w:val="center"/>
            </w:pPr>
            <w:r>
              <w:rPr>
                <w:rFonts w:ascii="Calibri" w:hAnsi="Calibri"/>
                <w:b/>
                <w:color w:val="FFFFFF"/>
                <w:sz w:val="18"/>
              </w:rPr>
              <w:t>MLP SHAP Katkısı</w:t>
            </w:r>
          </w:p>
        </w:tc>
        <w:tc>
          <w:tcPr>
            <w:tcW w:type="dxa" w:w="2304"/>
            <w:shd w:fill="006400"/>
            <w:tcMar>
              <w:top w:w="100" w:type="dxa"/>
              <w:bottom w:w="100" w:type="dxa"/>
              <w:left w:w="100" w:type="dxa"/>
              <w:right w:w="100" w:type="dxa"/>
            </w:tcMar>
          </w:tcPr>
          <w:p>
            <w:pPr>
              <w:jc w:val="center"/>
            </w:pPr>
            <w:r>
              <w:rPr>
                <w:rFonts w:ascii="Calibri" w:hAnsi="Calibri"/>
                <w:b/>
                <w:color w:val="FFFFFF"/>
                <w:sz w:val="18"/>
              </w:rPr>
              <w:t>Yön ve Etki Anlamı</w:t>
            </w:r>
          </w:p>
        </w:tc>
      </w:tr>
      <w:tr>
        <w:tc>
          <w:tcPr>
            <w:tcW w:type="dxa" w:w="2592"/>
            <w:shd w:fill="FFFFFF"/>
            <w:tcMar>
              <w:top w:w="80" w:type="dxa"/>
              <w:bottom w:w="80" w:type="dxa"/>
              <w:left w:w="100" w:type="dxa"/>
              <w:right w:w="100" w:type="dxa"/>
            </w:tcMar>
          </w:tcPr>
          <w:p>
            <w:pPr>
              <w:jc w:val="left"/>
            </w:pPr>
            <w:r>
              <w:rPr>
                <w:rFonts w:ascii="Calibri" w:hAnsi="Calibri"/>
                <w:sz w:val="17"/>
              </w:rPr>
              <w:t>InternetService_No (İnternet Yok)</w:t>
            </w:r>
          </w:p>
        </w:tc>
        <w:tc>
          <w:tcPr>
            <w:tcW w:type="dxa" w:w="1584"/>
            <w:shd w:fill="FFFFFF"/>
            <w:tcMar>
              <w:top w:w="80" w:type="dxa"/>
              <w:bottom w:w="80" w:type="dxa"/>
              <w:left w:w="100" w:type="dxa"/>
              <w:right w:w="100" w:type="dxa"/>
            </w:tcMar>
          </w:tcPr>
          <w:p>
            <w:pPr>
              <w:jc w:val="center"/>
            </w:pPr>
            <w:r>
              <w:rPr>
                <w:rFonts w:ascii="Calibri" w:hAnsi="Calibri"/>
                <w:sz w:val="17"/>
              </w:rPr>
              <w:t>1 (Yalnızca Telefon)</w:t>
            </w:r>
          </w:p>
        </w:tc>
        <w:tc>
          <w:tcPr>
            <w:tcW w:type="dxa" w:w="1584"/>
            <w:shd w:fill="FFFFFF"/>
            <w:tcMar>
              <w:top w:w="80" w:type="dxa"/>
              <w:bottom w:w="80" w:type="dxa"/>
              <w:left w:w="100" w:type="dxa"/>
              <w:right w:w="100" w:type="dxa"/>
            </w:tcMar>
          </w:tcPr>
          <w:p>
            <w:pPr>
              <w:jc w:val="center"/>
            </w:pPr>
            <w:r>
              <w:rPr>
                <w:rFonts w:ascii="Calibri" w:hAnsi="Calibri"/>
                <w:b/>
                <w:color w:val="006400"/>
                <w:sz w:val="17"/>
              </w:rPr>
              <w:t>-0.1351</w:t>
            </w:r>
          </w:p>
        </w:tc>
        <w:tc>
          <w:tcPr>
            <w:tcW w:type="dxa" w:w="1584"/>
            <w:shd w:fill="FFFFFF"/>
            <w:tcMar>
              <w:top w:w="80" w:type="dxa"/>
              <w:bottom w:w="80" w:type="dxa"/>
              <w:left w:w="100" w:type="dxa"/>
              <w:right w:w="100" w:type="dxa"/>
            </w:tcMar>
          </w:tcPr>
          <w:p>
            <w:pPr>
              <w:jc w:val="center"/>
            </w:pPr>
            <w:r>
              <w:rPr>
                <w:rFonts w:ascii="Calibri" w:hAnsi="Calibri"/>
                <w:sz w:val="17"/>
              </w:rPr>
              <w:t>+0.1034</w:t>
            </w:r>
          </w:p>
        </w:tc>
        <w:tc>
          <w:tcPr>
            <w:tcW w:type="dxa" w:w="2304"/>
            <w:shd w:fill="FFFFFF"/>
            <w:tcMar>
              <w:top w:w="80" w:type="dxa"/>
              <w:bottom w:w="80" w:type="dxa"/>
              <w:left w:w="100" w:type="dxa"/>
              <w:right w:w="100" w:type="dxa"/>
            </w:tcMar>
          </w:tcPr>
          <w:p>
            <w:pPr>
              <w:jc w:val="left"/>
            </w:pPr>
            <w:r>
              <w:rPr>
                <w:rFonts w:ascii="Calibri" w:hAnsi="Calibri"/>
                <w:sz w:val="17"/>
              </w:rPr>
              <w:t>Sade ve stabil hizmet bağlılığı artırıyor</w:t>
            </w:r>
          </w:p>
        </w:tc>
      </w:tr>
      <w:tr>
        <w:tc>
          <w:tcPr>
            <w:tcW w:type="dxa" w:w="2592"/>
            <w:shd w:fill="F7FDF7"/>
            <w:tcMar>
              <w:top w:w="80" w:type="dxa"/>
              <w:bottom w:w="80" w:type="dxa"/>
              <w:left w:w="100" w:type="dxa"/>
              <w:right w:w="100" w:type="dxa"/>
            </w:tcMar>
          </w:tcPr>
          <w:p>
            <w:pPr>
              <w:jc w:val="left"/>
            </w:pPr>
            <w:r>
              <w:rPr>
                <w:rFonts w:ascii="Calibri" w:hAnsi="Calibri"/>
                <w:sz w:val="17"/>
              </w:rPr>
              <w:t>MonthlyCharges (Aylık Fatura)</w:t>
            </w:r>
          </w:p>
        </w:tc>
        <w:tc>
          <w:tcPr>
            <w:tcW w:type="dxa" w:w="1584"/>
            <w:shd w:fill="F7FDF7"/>
            <w:tcMar>
              <w:top w:w="80" w:type="dxa"/>
              <w:bottom w:w="80" w:type="dxa"/>
              <w:left w:w="100" w:type="dxa"/>
              <w:right w:w="100" w:type="dxa"/>
            </w:tcMar>
          </w:tcPr>
          <w:p>
            <w:pPr>
              <w:jc w:val="center"/>
            </w:pPr>
            <w:r>
              <w:rPr>
                <w:rFonts w:ascii="Calibri" w:hAnsi="Calibri"/>
                <w:sz w:val="17"/>
              </w:rPr>
              <w:t>19.95 $</w:t>
            </w:r>
          </w:p>
        </w:tc>
        <w:tc>
          <w:tcPr>
            <w:tcW w:type="dxa" w:w="1584"/>
            <w:shd w:fill="F7FDF7"/>
            <w:tcMar>
              <w:top w:w="80" w:type="dxa"/>
              <w:bottom w:w="80" w:type="dxa"/>
              <w:left w:w="100" w:type="dxa"/>
              <w:right w:w="100" w:type="dxa"/>
            </w:tcMar>
          </w:tcPr>
          <w:p>
            <w:pPr>
              <w:jc w:val="center"/>
            </w:pPr>
            <w:r>
              <w:rPr>
                <w:rFonts w:ascii="Calibri" w:hAnsi="Calibri"/>
                <w:b/>
                <w:color w:val="006400"/>
                <w:sz w:val="17"/>
              </w:rPr>
              <w:t>-0.1310</w:t>
            </w:r>
          </w:p>
        </w:tc>
        <w:tc>
          <w:tcPr>
            <w:tcW w:type="dxa" w:w="1584"/>
            <w:shd w:fill="F7FDF7"/>
            <w:tcMar>
              <w:top w:w="80" w:type="dxa"/>
              <w:bottom w:w="80" w:type="dxa"/>
              <w:left w:w="100" w:type="dxa"/>
              <w:right w:w="100" w:type="dxa"/>
            </w:tcMar>
          </w:tcPr>
          <w:p>
            <w:pPr>
              <w:jc w:val="center"/>
            </w:pPr>
            <w:r>
              <w:rPr>
                <w:rFonts w:ascii="Calibri" w:hAnsi="Calibri"/>
                <w:b/>
                <w:color w:val="006400"/>
                <w:sz w:val="17"/>
              </w:rPr>
              <w:t>-0.4731</w:t>
            </w:r>
          </w:p>
        </w:tc>
        <w:tc>
          <w:tcPr>
            <w:tcW w:type="dxa" w:w="2304"/>
            <w:shd w:fill="F7FDF7"/>
            <w:tcMar>
              <w:top w:w="80" w:type="dxa"/>
              <w:bottom w:w="80" w:type="dxa"/>
              <w:left w:w="100" w:type="dxa"/>
              <w:right w:w="100" w:type="dxa"/>
            </w:tcMar>
          </w:tcPr>
          <w:p>
            <w:pPr>
              <w:jc w:val="left"/>
            </w:pPr>
            <w:r>
              <w:rPr>
                <w:rFonts w:ascii="Calibri" w:hAnsi="Calibri"/>
                <w:sz w:val="17"/>
              </w:rPr>
              <w:t>Çok düşük fatura riski doğrudan düşürüyor</w:t>
            </w:r>
          </w:p>
        </w:tc>
      </w:tr>
      <w:tr>
        <w:tc>
          <w:tcPr>
            <w:tcW w:type="dxa" w:w="2592"/>
            <w:shd w:fill="FFFFFF"/>
            <w:tcMar>
              <w:top w:w="80" w:type="dxa"/>
              <w:bottom w:w="80" w:type="dxa"/>
              <w:left w:w="100" w:type="dxa"/>
              <w:right w:w="100" w:type="dxa"/>
            </w:tcMar>
          </w:tcPr>
          <w:p>
            <w:pPr>
              <w:jc w:val="left"/>
            </w:pPr>
            <w:r>
              <w:rPr>
                <w:rFonts w:ascii="Calibri" w:hAnsi="Calibri"/>
                <w:sz w:val="17"/>
              </w:rPr>
              <w:t>InternetService_Fiber optic</w:t>
            </w:r>
          </w:p>
        </w:tc>
        <w:tc>
          <w:tcPr>
            <w:tcW w:type="dxa" w:w="1584"/>
            <w:shd w:fill="FFFFFF"/>
            <w:tcMar>
              <w:top w:w="80" w:type="dxa"/>
              <w:bottom w:w="80" w:type="dxa"/>
              <w:left w:w="100" w:type="dxa"/>
              <w:right w:w="100" w:type="dxa"/>
            </w:tcMar>
          </w:tcPr>
          <w:p>
            <w:pPr>
              <w:jc w:val="center"/>
            </w:pPr>
            <w:r>
              <w:rPr>
                <w:rFonts w:ascii="Calibri" w:hAnsi="Calibri"/>
                <w:sz w:val="17"/>
              </w:rPr>
              <w:t>0 (Fiber Yok)</w:t>
            </w:r>
          </w:p>
        </w:tc>
        <w:tc>
          <w:tcPr>
            <w:tcW w:type="dxa" w:w="1584"/>
            <w:shd w:fill="FFFFFF"/>
            <w:tcMar>
              <w:top w:w="80" w:type="dxa"/>
              <w:bottom w:w="80" w:type="dxa"/>
              <w:left w:w="100" w:type="dxa"/>
              <w:right w:w="100" w:type="dxa"/>
            </w:tcMar>
          </w:tcPr>
          <w:p>
            <w:pPr>
              <w:jc w:val="center"/>
            </w:pPr>
            <w:r>
              <w:rPr>
                <w:rFonts w:ascii="Calibri" w:hAnsi="Calibri"/>
                <w:b/>
                <w:color w:val="006400"/>
                <w:sz w:val="17"/>
              </w:rPr>
              <w:t>-0.0883</w:t>
            </w:r>
          </w:p>
        </w:tc>
        <w:tc>
          <w:tcPr>
            <w:tcW w:type="dxa" w:w="1584"/>
            <w:shd w:fill="FFFFFF"/>
            <w:tcMar>
              <w:top w:w="80" w:type="dxa"/>
              <w:bottom w:w="80" w:type="dxa"/>
              <w:left w:w="100" w:type="dxa"/>
              <w:right w:w="100" w:type="dxa"/>
            </w:tcMar>
          </w:tcPr>
          <w:p>
            <w:pPr>
              <w:jc w:val="center"/>
            </w:pPr>
            <w:r>
              <w:rPr>
                <w:rFonts w:ascii="Calibri" w:hAnsi="Calibri"/>
                <w:sz w:val="17"/>
              </w:rPr>
              <w:t>+0.0896</w:t>
            </w:r>
          </w:p>
        </w:tc>
        <w:tc>
          <w:tcPr>
            <w:tcW w:type="dxa" w:w="2304"/>
            <w:shd w:fill="FFFFFF"/>
            <w:tcMar>
              <w:top w:w="80" w:type="dxa"/>
              <w:bottom w:w="80" w:type="dxa"/>
              <w:left w:w="100" w:type="dxa"/>
              <w:right w:w="100" w:type="dxa"/>
            </w:tcMar>
          </w:tcPr>
          <w:p>
            <w:pPr>
              <w:jc w:val="left"/>
            </w:pPr>
            <w:r>
              <w:rPr>
                <w:rFonts w:ascii="Calibri" w:hAnsi="Calibri"/>
                <w:sz w:val="17"/>
              </w:rPr>
              <w:t>Fiber maliyeti ve şikayeti yok</w:t>
            </w:r>
          </w:p>
        </w:tc>
      </w:tr>
      <w:tr>
        <w:tc>
          <w:tcPr>
            <w:tcW w:type="dxa" w:w="2592"/>
            <w:shd w:fill="F7FDF7"/>
            <w:tcMar>
              <w:top w:w="80" w:type="dxa"/>
              <w:bottom w:w="80" w:type="dxa"/>
              <w:left w:w="100" w:type="dxa"/>
              <w:right w:w="100" w:type="dxa"/>
            </w:tcMar>
          </w:tcPr>
          <w:p>
            <w:pPr>
              <w:jc w:val="left"/>
            </w:pPr>
            <w:r>
              <w:rPr>
                <w:rFonts w:ascii="Calibri" w:hAnsi="Calibri"/>
                <w:sz w:val="17"/>
              </w:rPr>
              <w:t>PaymentMethod_Mailed check</w:t>
            </w:r>
          </w:p>
        </w:tc>
        <w:tc>
          <w:tcPr>
            <w:tcW w:type="dxa" w:w="1584"/>
            <w:shd w:fill="F7FDF7"/>
            <w:tcMar>
              <w:top w:w="80" w:type="dxa"/>
              <w:bottom w:w="80" w:type="dxa"/>
              <w:left w:w="100" w:type="dxa"/>
              <w:right w:w="100" w:type="dxa"/>
            </w:tcMar>
          </w:tcPr>
          <w:p>
            <w:pPr>
              <w:jc w:val="center"/>
            </w:pPr>
            <w:r>
              <w:rPr>
                <w:rFonts w:ascii="Calibri" w:hAnsi="Calibri"/>
                <w:sz w:val="17"/>
              </w:rPr>
              <w:t>1 (Posta Çeki)</w:t>
            </w:r>
          </w:p>
        </w:tc>
        <w:tc>
          <w:tcPr>
            <w:tcW w:type="dxa" w:w="1584"/>
            <w:shd w:fill="F7FDF7"/>
            <w:tcMar>
              <w:top w:w="80" w:type="dxa"/>
              <w:bottom w:w="80" w:type="dxa"/>
              <w:left w:w="100" w:type="dxa"/>
              <w:right w:w="100" w:type="dxa"/>
            </w:tcMar>
          </w:tcPr>
          <w:p>
            <w:pPr>
              <w:jc w:val="center"/>
            </w:pPr>
            <w:r>
              <w:rPr>
                <w:rFonts w:ascii="Calibri" w:hAnsi="Calibri"/>
                <w:b/>
                <w:color w:val="006400"/>
                <w:sz w:val="17"/>
              </w:rPr>
              <w:t>-0.0189</w:t>
            </w:r>
          </w:p>
        </w:tc>
        <w:tc>
          <w:tcPr>
            <w:tcW w:type="dxa" w:w="1584"/>
            <w:shd w:fill="F7FDF7"/>
            <w:tcMar>
              <w:top w:w="80" w:type="dxa"/>
              <w:bottom w:w="80" w:type="dxa"/>
              <w:left w:w="100" w:type="dxa"/>
              <w:right w:w="100" w:type="dxa"/>
            </w:tcMar>
          </w:tcPr>
          <w:p>
            <w:pPr>
              <w:jc w:val="center"/>
            </w:pPr>
            <w:r>
              <w:rPr>
                <w:rFonts w:ascii="Calibri" w:hAnsi="Calibri"/>
                <w:b/>
                <w:color w:val="006400"/>
                <w:sz w:val="17"/>
              </w:rPr>
              <w:t>-0.0665</w:t>
            </w:r>
          </w:p>
        </w:tc>
        <w:tc>
          <w:tcPr>
            <w:tcW w:type="dxa" w:w="2304"/>
            <w:shd w:fill="F7FDF7"/>
            <w:tcMar>
              <w:top w:w="80" w:type="dxa"/>
              <w:bottom w:w="80" w:type="dxa"/>
              <w:left w:w="100" w:type="dxa"/>
              <w:right w:w="100" w:type="dxa"/>
            </w:tcMar>
          </w:tcPr>
          <w:p>
            <w:pPr>
              <w:jc w:val="left"/>
            </w:pPr>
            <w:r>
              <w:rPr>
                <w:rFonts w:ascii="Calibri" w:hAnsi="Calibri"/>
                <w:sz w:val="17"/>
              </w:rPr>
              <w:t>Geleneksel ve stabil ödeme profili</w:t>
            </w:r>
          </w:p>
        </w:tc>
      </w:tr>
    </w:tbl>
    <w:p>
      <w:pPr>
        <w:spacing w:line="276" w:lineRule="auto" w:after="100"/>
        <w:ind w:firstLine="360"/>
      </w:pPr>
      <w:r>
        <w:rPr>
          <w:rFonts w:ascii="Calibri" w:hAnsi="Calibri"/>
          <w:sz w:val="20"/>
        </w:rPr>
        <w:t>Vaka 2 Tahminleri: Random Forest bu müşteri için %26.0 Churn Olasılığı, MLP modeli ise %29.3 Churn Olasılığı belirlemiştir. Müşteri yeni (4 ay) olsa bile 19.95 $ gibi çok düşük bir fatura ödemesi ve internet şikayeti yaşamaması ayrılma riskini çok güçlü biçimde baskılamıştır.</w:t>
      </w:r>
    </w:p>
    <w:p>
      <w:pPr>
        <w:keepNext/>
        <w:spacing w:before="200" w:after="60"/>
      </w:pPr>
      <w:r>
        <w:rPr>
          <w:rFonts w:ascii="Calibri" w:hAnsi="Calibri"/>
          <w:b/>
          <w:color w:val="1E4678"/>
          <w:sz w:val="22"/>
        </w:rPr>
        <w:t>3.4. İşletmeler ve Karar Vericiler İçin Stratejik Öneriler</w:t>
      </w:r>
    </w:p>
    <w:tbl>
      <w:tblPr>
        <w:tblW w:type="auto" w:w="0"/>
        <w:jc w:val="center"/>
        <w:tblLayout w:type="fixed"/>
        <w:tblLook w:firstColumn="1" w:firstRow="1" w:lastColumn="0" w:lastRow="0" w:noHBand="0" w:noVBand="1" w:val="04A0"/>
      </w:tblPr>
      <w:tblGrid>
        <w:gridCol w:w="9648"/>
      </w:tblGrid>
      <w:tr>
        <w:tc>
          <w:tcPr>
            <w:tcW w:type="dxa" w:w="9360"/>
            <w:shd w:fill="F0F7FF"/>
            <w:tcMar>
              <w:top w:w="140" w:type="dxa"/>
              <w:bottom w:w="14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 Telekomünikasyon Yönetimi İçin XAI Destekli Proaktif Aksiyon Planı</w:t>
              <w:br/>
            </w:r>
          </w:p>
          <w:p>
            <w:pPr>
              <w:spacing w:before="40" w:after="60" w:line="276" w:lineRule="auto"/>
            </w:pPr>
            <w:r>
              <w:rPr>
                <w:rFonts w:ascii="Calibri" w:hAnsi="Calibri"/>
                <w:color w:val="282828"/>
                <w:sz w:val="19"/>
              </w:rPr>
              <w:t>1. İlk 12 Ay Risk Kalkanı: En büyük ayrılma riski ilk 1-12 ay arasındaki yeni abonelerde yoğunlaşmaktadır. Bu müşterilere 'hoş geldin' avantajları ve ilk 6 ay fatura koruma paketleri sunulmalıdır.</w:t>
            </w:r>
          </w:p>
          <w:p>
            <w:pPr>
              <w:spacing w:before="40" w:after="60" w:line="276" w:lineRule="auto"/>
            </w:pPr>
            <w:r>
              <w:rPr>
                <w:rFonts w:ascii="Calibri" w:hAnsi="Calibri"/>
                <w:color w:val="282828"/>
                <w:sz w:val="19"/>
              </w:rPr>
              <w:t>2. Taahhüt Teşvik Mekanizması: 1 ve 2 yıllık sözleşmeler churn oranını %80'in üzerinde azaltmaktadır. Aylık sözleşmeli müşterilere küçük indirimler teklif edilerek uzun vadeli sözleşmelere geçişleri sağlanmalıdır.</w:t>
            </w:r>
          </w:p>
          <w:p>
            <w:pPr>
              <w:spacing w:before="40" w:after="60" w:line="276" w:lineRule="auto"/>
            </w:pPr>
            <w:r>
              <w:rPr>
                <w:rFonts w:ascii="Calibri" w:hAnsi="Calibri"/>
                <w:color w:val="282828"/>
                <w:sz w:val="19"/>
              </w:rPr>
              <w:t>3. Fiber İnternet Destek Paketi: Fiber kullanıcılarındaki yüksek terk eğilimi yüksek fatura ve altyapı beklentisinden kaynaklanmaktadır. Bu müşterilere ücretsiz 'Teknik Destek' ve 'Online Güvenlik' tanımlanmalıdır.</w:t>
            </w:r>
          </w:p>
        </w:tc>
      </w:tr>
    </w:tbl>
    <w:p>
      <w:pPr>
        <w:spacing w:after="80"/>
      </w:pPr>
    </w:p>
    <w:p>
      <w:pPr>
        <w:keepNext/>
        <w:spacing w:before="280" w:after="80"/>
      </w:pPr>
      <w:r>
        <w:rPr>
          <w:rFonts w:ascii="Calibri" w:hAnsi="Calibri"/>
          <w:b/>
          <w:color w:val="003366"/>
          <w:sz w:val="26"/>
        </w:rPr>
        <w:t>4. Çıktılar (Yayınlar, Sunumlar v.b.)</w:t>
      </w:r>
    </w:p>
    <w:p>
      <w:pPr>
        <w:spacing w:line="276" w:lineRule="auto" w:after="100"/>
        <w:ind w:firstLine="360"/>
      </w:pPr>
      <w:r>
        <w:rPr>
          <w:rFonts w:ascii="Calibri" w:hAnsi="Calibri"/>
          <w:b/>
          <w:sz w:val="20"/>
        </w:rPr>
        <w:t xml:space="preserve">• Çalışan Web Karar Destek Prototipi: </w:t>
      </w:r>
      <w:r>
        <w:rPr>
          <w:rFonts w:ascii="Calibri" w:hAnsi="Calibri"/>
          <w:sz w:val="20"/>
        </w:rPr>
        <w:t>Streamlit ile geliştirilen, interaktif senaryo simülasyonu, model kıyaslaması ve SHAP grafiklerine sahip karar destek prototipi tamamlanmış ve yayına alınmıştır.</w:t>
      </w:r>
    </w:p>
    <w:p>
      <w:pPr>
        <w:spacing w:line="276" w:lineRule="auto" w:after="100"/>
        <w:ind w:firstLine="360"/>
      </w:pPr>
      <w:r>
        <w:rPr>
          <w:rFonts w:ascii="Calibri" w:hAnsi="Calibri"/>
          <w:b/>
          <w:sz w:val="20"/>
        </w:rPr>
        <w:t xml:space="preserve">• Eğitilmiş Model Kütüphanesi: </w:t>
      </w:r>
      <w:r>
        <w:rPr>
          <w:rFonts w:ascii="Calibri" w:hAnsi="Calibri"/>
          <w:sz w:val="20"/>
        </w:rPr>
        <w:t>Random Forest, MLP, StandardScaler ve SHAP nesneleri models/ klasörü altında arşivlenmiştir.</w:t>
      </w:r>
    </w:p>
    <w:p>
      <w:pPr>
        <w:spacing w:line="276" w:lineRule="auto" w:after="100"/>
        <w:ind w:firstLine="360"/>
      </w:pPr>
      <w:r>
        <w:rPr>
          <w:rFonts w:ascii="Calibri" w:hAnsi="Calibri"/>
          <w:b/>
          <w:sz w:val="20"/>
        </w:rPr>
        <w:t xml:space="preserve">• Bölüm Semineri ve Teknik Rapor: </w:t>
      </w:r>
      <w:r>
        <w:rPr>
          <w:rFonts w:ascii="Calibri" w:hAnsi="Calibri"/>
          <w:sz w:val="20"/>
        </w:rPr>
        <w:t>Fırat Üniversitesi Mühendislik/Teknoloji Fakültesi bünyesinde 'Açıklanabilir Yapay Zekâ (XAI) ve Churn Analitiği' başlıklı proje sunumu yapılmıştır.</w:t>
      </w:r>
    </w:p>
    <w:p>
      <w:pPr>
        <w:spacing w:line="276" w:lineRule="auto" w:after="100"/>
        <w:ind w:firstLine="360"/>
      </w:pPr>
      <w:r>
        <w:rPr>
          <w:rFonts w:ascii="Calibri" w:hAnsi="Calibri"/>
          <w:b/>
          <w:sz w:val="20"/>
        </w:rPr>
        <w:t xml:space="preserve">• Akademik Bildiri Taslağı: </w:t>
      </w:r>
      <w:r>
        <w:rPr>
          <w:rFonts w:ascii="Calibri" w:hAnsi="Calibri"/>
          <w:sz w:val="20"/>
        </w:rPr>
        <w:t>Tabular verilerde topluluk ağaçları ve derin öğrenmenin XAI karşılaştırmasını içeren ulusal/uluslararası konferans bildiri taslağı hazırlanmıştır.</w:t>
      </w:r>
    </w:p>
    <w:p>
      <w:pPr>
        <w:keepNext/>
        <w:spacing w:before="280" w:after="80"/>
      </w:pPr>
      <w:r>
        <w:rPr>
          <w:rFonts w:ascii="Calibri" w:hAnsi="Calibri"/>
          <w:b/>
          <w:color w:val="003366"/>
          <w:sz w:val="26"/>
        </w:rPr>
        <w:t>5. Proje İle İlgili Harcama Kalemleri Hakkında Ayrıntılı Bilgi</w:t>
      </w:r>
    </w:p>
    <w:p>
      <w:pPr>
        <w:spacing w:line="276" w:lineRule="auto" w:after="100"/>
        <w:ind w:firstLine="360"/>
      </w:pPr>
      <w:r>
        <w:rPr>
          <w:rFonts w:ascii="Calibri" w:hAnsi="Calibri"/>
          <w:sz w:val="20"/>
        </w:rPr>
        <w:t>TÜBİTAK 2209-A programı kapsamında sağlanan 9.000,00 TL tutarındaki proje araştırma desteği projenin hedefleri doğrultusunda kullanılmıştır. Harcama dökümü Tablo 6'da sunulmuştur:</w:t>
      </w:r>
    </w:p>
    <w:p>
      <w:pPr>
        <w:spacing w:before="120" w:after="60"/>
      </w:pPr>
      <w:r>
        <w:rPr>
          <w:rFonts w:ascii="Calibri" w:hAnsi="Calibri"/>
          <w:b/>
          <w:color w:val="003366"/>
          <w:sz w:val="20"/>
        </w:rPr>
        <w:t>Tablo 6. TÜBİTAK 2209-A Bütçesi Harcama Kalemleri Döküm Tablosu</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412"/>
        <w:gridCol w:w="2412"/>
        <w:gridCol w:w="2412"/>
        <w:gridCol w:w="2412"/>
      </w:tblGrid>
      <w:tr>
        <w:tc>
          <w:tcPr>
            <w:tcW w:type="dxa" w:w="1152"/>
            <w:shd w:fill="003366"/>
            <w:tcMar>
              <w:top w:w="100" w:type="dxa"/>
              <w:bottom w:w="100" w:type="dxa"/>
              <w:left w:w="100" w:type="dxa"/>
              <w:right w:w="100" w:type="dxa"/>
            </w:tcMar>
          </w:tcPr>
          <w:p>
            <w:pPr>
              <w:jc w:val="center"/>
            </w:pPr>
            <w:r>
              <w:rPr>
                <w:rFonts w:ascii="Calibri" w:hAnsi="Calibri"/>
                <w:b/>
                <w:color w:val="FFFFFF"/>
                <w:sz w:val="18"/>
              </w:rPr>
              <w:t>Sıra No</w:t>
            </w:r>
          </w:p>
        </w:tc>
        <w:tc>
          <w:tcPr>
            <w:tcW w:type="dxa" w:w="3312"/>
            <w:shd w:fill="003366"/>
            <w:tcMar>
              <w:top w:w="100" w:type="dxa"/>
              <w:bottom w:w="100" w:type="dxa"/>
              <w:left w:w="100" w:type="dxa"/>
              <w:right w:w="100" w:type="dxa"/>
            </w:tcMar>
          </w:tcPr>
          <w:p>
            <w:pPr>
              <w:jc w:val="center"/>
            </w:pPr>
            <w:r>
              <w:rPr>
                <w:rFonts w:ascii="Calibri" w:hAnsi="Calibri"/>
                <w:b/>
                <w:color w:val="FFFFFF"/>
                <w:sz w:val="18"/>
              </w:rPr>
              <w:t>Harcama Kalemi / Açıklama</w:t>
            </w:r>
          </w:p>
        </w:tc>
        <w:tc>
          <w:tcPr>
            <w:tcW w:type="dxa" w:w="3456"/>
            <w:shd w:fill="003366"/>
            <w:tcMar>
              <w:top w:w="100" w:type="dxa"/>
              <w:bottom w:w="100" w:type="dxa"/>
              <w:left w:w="100" w:type="dxa"/>
              <w:right w:w="100" w:type="dxa"/>
            </w:tcMar>
          </w:tcPr>
          <w:p>
            <w:pPr>
              <w:jc w:val="center"/>
            </w:pPr>
            <w:r>
              <w:rPr>
                <w:rFonts w:ascii="Calibri" w:hAnsi="Calibri"/>
                <w:b/>
                <w:color w:val="FFFFFF"/>
                <w:sz w:val="18"/>
              </w:rPr>
              <w:t>Gerekçe ve Kullanım Alanı</w:t>
            </w:r>
          </w:p>
        </w:tc>
        <w:tc>
          <w:tcPr>
            <w:tcW w:type="dxa" w:w="1728"/>
            <w:shd w:fill="003366"/>
            <w:tcMar>
              <w:top w:w="100" w:type="dxa"/>
              <w:bottom w:w="100" w:type="dxa"/>
              <w:left w:w="100" w:type="dxa"/>
              <w:right w:w="100" w:type="dxa"/>
            </w:tcMar>
          </w:tcPr>
          <w:p>
            <w:pPr>
              <w:jc w:val="center"/>
            </w:pPr>
            <w:r>
              <w:rPr>
                <w:rFonts w:ascii="Calibri" w:hAnsi="Calibri"/>
                <w:b/>
                <w:color w:val="FFFFFF"/>
                <w:sz w:val="18"/>
              </w:rPr>
              <w:t>Tutar (TL)</w:t>
            </w:r>
          </w:p>
        </w:tc>
      </w:tr>
      <w:tr>
        <w:tc>
          <w:tcPr>
            <w:tcW w:type="dxa" w:w="1152"/>
            <w:shd w:fill="FFFFFF"/>
            <w:tcMar>
              <w:top w:w="80" w:type="dxa"/>
              <w:bottom w:w="80" w:type="dxa"/>
              <w:left w:w="100" w:type="dxa"/>
              <w:right w:w="100" w:type="dxa"/>
            </w:tcMar>
          </w:tcPr>
          <w:p>
            <w:pPr>
              <w:jc w:val="center"/>
            </w:pPr>
            <w:r>
              <w:rPr>
                <w:rFonts w:ascii="Calibri" w:hAnsi="Calibri"/>
                <w:sz w:val="17"/>
              </w:rPr>
              <w:t>1</w:t>
            </w:r>
          </w:p>
        </w:tc>
        <w:tc>
          <w:tcPr>
            <w:tcW w:type="dxa" w:w="3312"/>
            <w:shd w:fill="FFFFFF"/>
            <w:tcMar>
              <w:top w:w="80" w:type="dxa"/>
              <w:bottom w:w="80" w:type="dxa"/>
              <w:left w:w="100" w:type="dxa"/>
              <w:right w:w="100" w:type="dxa"/>
            </w:tcMar>
          </w:tcPr>
          <w:p>
            <w:pPr>
              <w:jc w:val="left"/>
            </w:pPr>
            <w:r>
              <w:rPr>
                <w:rFonts w:ascii="Calibri" w:hAnsi="Calibri"/>
                <w:sz w:val="17"/>
              </w:rPr>
              <w:t>Taşınabilir SSD Depolama Birimi (1 TB)</w:t>
            </w:r>
          </w:p>
        </w:tc>
        <w:tc>
          <w:tcPr>
            <w:tcW w:type="dxa" w:w="3456"/>
            <w:shd w:fill="FFFFFF"/>
            <w:tcMar>
              <w:top w:w="80" w:type="dxa"/>
              <w:bottom w:w="80" w:type="dxa"/>
              <w:left w:w="100" w:type="dxa"/>
              <w:right w:w="100" w:type="dxa"/>
            </w:tcMar>
          </w:tcPr>
          <w:p>
            <w:pPr>
              <w:jc w:val="left"/>
            </w:pPr>
            <w:r>
              <w:rPr>
                <w:rFonts w:ascii="Calibri" w:hAnsi="Calibri"/>
                <w:sz w:val="17"/>
              </w:rPr>
              <w:t>Veri setleri, SHAP matrisleri ve model ağırlıklarının yedeklenmesi</w:t>
            </w:r>
          </w:p>
        </w:tc>
        <w:tc>
          <w:tcPr>
            <w:tcW w:type="dxa" w:w="1728"/>
            <w:shd w:fill="FFFFFF"/>
            <w:tcMar>
              <w:top w:w="80" w:type="dxa"/>
              <w:bottom w:w="80" w:type="dxa"/>
              <w:left w:w="100" w:type="dxa"/>
              <w:right w:w="100" w:type="dxa"/>
            </w:tcMar>
          </w:tcPr>
          <w:p>
            <w:pPr>
              <w:jc w:val="center"/>
            </w:pPr>
            <w:r>
              <w:rPr>
                <w:rFonts w:ascii="Calibri" w:hAnsi="Calibri"/>
                <w:sz w:val="17"/>
              </w:rPr>
              <w:t>3.150,00 TL</w:t>
            </w:r>
          </w:p>
        </w:tc>
      </w:tr>
      <w:tr>
        <w:tc>
          <w:tcPr>
            <w:tcW w:type="dxa" w:w="1152"/>
            <w:shd w:fill="F9FBFD"/>
            <w:tcMar>
              <w:top w:w="80" w:type="dxa"/>
              <w:bottom w:w="80" w:type="dxa"/>
              <w:left w:w="100" w:type="dxa"/>
              <w:right w:w="100" w:type="dxa"/>
            </w:tcMar>
          </w:tcPr>
          <w:p>
            <w:pPr>
              <w:jc w:val="center"/>
            </w:pPr>
            <w:r>
              <w:rPr>
                <w:rFonts w:ascii="Calibri" w:hAnsi="Calibri"/>
                <w:sz w:val="17"/>
              </w:rPr>
              <w:t>2</w:t>
            </w:r>
          </w:p>
        </w:tc>
        <w:tc>
          <w:tcPr>
            <w:tcW w:type="dxa" w:w="3312"/>
            <w:shd w:fill="F9FBFD"/>
            <w:tcMar>
              <w:top w:w="80" w:type="dxa"/>
              <w:bottom w:w="80" w:type="dxa"/>
              <w:left w:w="100" w:type="dxa"/>
              <w:right w:w="100" w:type="dxa"/>
            </w:tcMar>
          </w:tcPr>
          <w:p>
            <w:pPr>
              <w:jc w:val="left"/>
            </w:pPr>
            <w:r>
              <w:rPr>
                <w:rFonts w:ascii="Calibri" w:hAnsi="Calibri"/>
                <w:sz w:val="17"/>
              </w:rPr>
              <w:t>Bulut / GPU Hesaplama Kredisi (Colab Pro)</w:t>
            </w:r>
          </w:p>
        </w:tc>
        <w:tc>
          <w:tcPr>
            <w:tcW w:type="dxa" w:w="3456"/>
            <w:shd w:fill="F9FBFD"/>
            <w:tcMar>
              <w:top w:w="80" w:type="dxa"/>
              <w:bottom w:w="80" w:type="dxa"/>
              <w:left w:w="100" w:type="dxa"/>
              <w:right w:w="100" w:type="dxa"/>
            </w:tcMar>
          </w:tcPr>
          <w:p>
            <w:pPr>
              <w:jc w:val="left"/>
            </w:pPr>
            <w:r>
              <w:rPr>
                <w:rFonts w:ascii="Calibri" w:hAnsi="Calibri"/>
                <w:sz w:val="17"/>
              </w:rPr>
              <w:t>Derin öğrenme eğitimi ve SHAP iterasyonlarının hızlandırılması</w:t>
            </w:r>
          </w:p>
        </w:tc>
        <w:tc>
          <w:tcPr>
            <w:tcW w:type="dxa" w:w="1728"/>
            <w:shd w:fill="F9FBFD"/>
            <w:tcMar>
              <w:top w:w="80" w:type="dxa"/>
              <w:bottom w:w="80" w:type="dxa"/>
              <w:left w:w="100" w:type="dxa"/>
              <w:right w:w="100" w:type="dxa"/>
            </w:tcMar>
          </w:tcPr>
          <w:p>
            <w:pPr>
              <w:jc w:val="center"/>
            </w:pPr>
            <w:r>
              <w:rPr>
                <w:rFonts w:ascii="Calibri" w:hAnsi="Calibri"/>
                <w:sz w:val="17"/>
              </w:rPr>
              <w:t>1.850,00 TL</w:t>
            </w:r>
          </w:p>
        </w:tc>
      </w:tr>
      <w:tr>
        <w:tc>
          <w:tcPr>
            <w:tcW w:type="dxa" w:w="1152"/>
            <w:shd w:fill="FFFFFF"/>
            <w:tcMar>
              <w:top w:w="80" w:type="dxa"/>
              <w:bottom w:w="80" w:type="dxa"/>
              <w:left w:w="100" w:type="dxa"/>
              <w:right w:w="100" w:type="dxa"/>
            </w:tcMar>
          </w:tcPr>
          <w:p>
            <w:pPr>
              <w:jc w:val="center"/>
            </w:pPr>
            <w:r>
              <w:rPr>
                <w:rFonts w:ascii="Calibri" w:hAnsi="Calibri"/>
                <w:sz w:val="17"/>
              </w:rPr>
              <w:t>3</w:t>
            </w:r>
          </w:p>
        </w:tc>
        <w:tc>
          <w:tcPr>
            <w:tcW w:type="dxa" w:w="3312"/>
            <w:shd w:fill="FFFFFF"/>
            <w:tcMar>
              <w:top w:w="80" w:type="dxa"/>
              <w:bottom w:w="80" w:type="dxa"/>
              <w:left w:w="100" w:type="dxa"/>
              <w:right w:w="100" w:type="dxa"/>
            </w:tcMar>
          </w:tcPr>
          <w:p>
            <w:pPr>
              <w:jc w:val="left"/>
            </w:pPr>
            <w:r>
              <w:rPr>
                <w:rFonts w:ascii="Calibri" w:hAnsi="Calibri"/>
                <w:sz w:val="17"/>
              </w:rPr>
              <w:t>Kırtasiye, Rapor Baskı ve Ciltleme</w:t>
            </w:r>
          </w:p>
        </w:tc>
        <w:tc>
          <w:tcPr>
            <w:tcW w:type="dxa" w:w="3456"/>
            <w:shd w:fill="FFFFFF"/>
            <w:tcMar>
              <w:top w:w="80" w:type="dxa"/>
              <w:bottom w:w="80" w:type="dxa"/>
              <w:left w:w="100" w:type="dxa"/>
              <w:right w:w="100" w:type="dxa"/>
            </w:tcMar>
          </w:tcPr>
          <w:p>
            <w:pPr>
              <w:jc w:val="left"/>
            </w:pPr>
            <w:r>
              <w:rPr>
                <w:rFonts w:ascii="Calibri" w:hAnsi="Calibri"/>
                <w:sz w:val="17"/>
              </w:rPr>
              <w:t>Öneri formu, ara raporlar, sonuç raporu ve seminer basımları</w:t>
            </w:r>
          </w:p>
        </w:tc>
        <w:tc>
          <w:tcPr>
            <w:tcW w:type="dxa" w:w="1728"/>
            <w:shd w:fill="FFFFFF"/>
            <w:tcMar>
              <w:top w:w="80" w:type="dxa"/>
              <w:bottom w:w="80" w:type="dxa"/>
              <w:left w:w="100" w:type="dxa"/>
              <w:right w:w="100" w:type="dxa"/>
            </w:tcMar>
          </w:tcPr>
          <w:p>
            <w:pPr>
              <w:jc w:val="center"/>
            </w:pPr>
            <w:r>
              <w:rPr>
                <w:rFonts w:ascii="Calibri" w:hAnsi="Calibri"/>
                <w:sz w:val="17"/>
              </w:rPr>
              <w:t>1.650,00 TL</w:t>
            </w:r>
          </w:p>
        </w:tc>
      </w:tr>
      <w:tr>
        <w:tc>
          <w:tcPr>
            <w:tcW w:type="dxa" w:w="1152"/>
            <w:shd w:fill="F9FBFD"/>
            <w:tcMar>
              <w:top w:w="80" w:type="dxa"/>
              <w:bottom w:w="80" w:type="dxa"/>
              <w:left w:w="100" w:type="dxa"/>
              <w:right w:w="100" w:type="dxa"/>
            </w:tcMar>
          </w:tcPr>
          <w:p>
            <w:pPr>
              <w:jc w:val="center"/>
            </w:pPr>
            <w:r>
              <w:rPr>
                <w:rFonts w:ascii="Calibri" w:hAnsi="Calibri"/>
                <w:sz w:val="17"/>
              </w:rPr>
              <w:t>4</w:t>
            </w:r>
          </w:p>
        </w:tc>
        <w:tc>
          <w:tcPr>
            <w:tcW w:type="dxa" w:w="3312"/>
            <w:shd w:fill="F9FBFD"/>
            <w:tcMar>
              <w:top w:w="80" w:type="dxa"/>
              <w:bottom w:w="80" w:type="dxa"/>
              <w:left w:w="100" w:type="dxa"/>
              <w:right w:w="100" w:type="dxa"/>
            </w:tcMar>
          </w:tcPr>
          <w:p>
            <w:pPr>
              <w:jc w:val="left"/>
            </w:pPr>
            <w:r>
              <w:rPr>
                <w:rFonts w:ascii="Calibri" w:hAnsi="Calibri"/>
                <w:sz w:val="17"/>
              </w:rPr>
              <w:t>Teknik Kitap ve Akademik Kaynaklar</w:t>
            </w:r>
          </w:p>
        </w:tc>
        <w:tc>
          <w:tcPr>
            <w:tcW w:type="dxa" w:w="3456"/>
            <w:shd w:fill="F9FBFD"/>
            <w:tcMar>
              <w:top w:w="80" w:type="dxa"/>
              <w:bottom w:w="80" w:type="dxa"/>
              <w:left w:w="100" w:type="dxa"/>
              <w:right w:w="100" w:type="dxa"/>
            </w:tcMar>
          </w:tcPr>
          <w:p>
            <w:pPr>
              <w:jc w:val="left"/>
            </w:pPr>
            <w:r>
              <w:rPr>
                <w:rFonts w:ascii="Calibri" w:hAnsi="Calibri"/>
                <w:sz w:val="17"/>
              </w:rPr>
              <w:t>Açıklanabilir Yapay Zekâ (XAI) ve Makine Öğrenmesi referans kitapları</w:t>
            </w:r>
          </w:p>
        </w:tc>
        <w:tc>
          <w:tcPr>
            <w:tcW w:type="dxa" w:w="1728"/>
            <w:shd w:fill="F9FBFD"/>
            <w:tcMar>
              <w:top w:w="80" w:type="dxa"/>
              <w:bottom w:w="80" w:type="dxa"/>
              <w:left w:w="100" w:type="dxa"/>
              <w:right w:w="100" w:type="dxa"/>
            </w:tcMar>
          </w:tcPr>
          <w:p>
            <w:pPr>
              <w:jc w:val="center"/>
            </w:pPr>
            <w:r>
              <w:rPr>
                <w:rFonts w:ascii="Calibri" w:hAnsi="Calibri"/>
                <w:sz w:val="17"/>
              </w:rPr>
              <w:t>1.450,00 TL</w:t>
            </w:r>
          </w:p>
        </w:tc>
      </w:tr>
      <w:tr>
        <w:tc>
          <w:tcPr>
            <w:tcW w:type="dxa" w:w="1152"/>
            <w:shd w:fill="FFFFFF"/>
            <w:tcMar>
              <w:top w:w="80" w:type="dxa"/>
              <w:bottom w:w="80" w:type="dxa"/>
              <w:left w:w="100" w:type="dxa"/>
              <w:right w:w="100" w:type="dxa"/>
            </w:tcMar>
          </w:tcPr>
          <w:p>
            <w:pPr>
              <w:jc w:val="center"/>
            </w:pPr>
            <w:r>
              <w:rPr>
                <w:rFonts w:ascii="Calibri" w:hAnsi="Calibri"/>
                <w:sz w:val="17"/>
              </w:rPr>
              <w:t>5</w:t>
            </w:r>
          </w:p>
        </w:tc>
        <w:tc>
          <w:tcPr>
            <w:tcW w:type="dxa" w:w="3312"/>
            <w:shd w:fill="FFFFFF"/>
            <w:tcMar>
              <w:top w:w="80" w:type="dxa"/>
              <w:bottom w:w="80" w:type="dxa"/>
              <w:left w:w="100" w:type="dxa"/>
              <w:right w:w="100" w:type="dxa"/>
            </w:tcMar>
          </w:tcPr>
          <w:p>
            <w:pPr>
              <w:jc w:val="left"/>
            </w:pPr>
            <w:r>
              <w:rPr>
                <w:rFonts w:ascii="Calibri" w:hAnsi="Calibri"/>
                <w:sz w:val="17"/>
              </w:rPr>
              <w:t>Sarf Malzemeleri (Toner, Kağıt, Bellek)</w:t>
            </w:r>
          </w:p>
        </w:tc>
        <w:tc>
          <w:tcPr>
            <w:tcW w:type="dxa" w:w="3456"/>
            <w:shd w:fill="FFFFFF"/>
            <w:tcMar>
              <w:top w:w="80" w:type="dxa"/>
              <w:bottom w:w="80" w:type="dxa"/>
              <w:left w:w="100" w:type="dxa"/>
              <w:right w:w="100" w:type="dxa"/>
            </w:tcMar>
          </w:tcPr>
          <w:p>
            <w:pPr>
              <w:jc w:val="left"/>
            </w:pPr>
            <w:r>
              <w:rPr>
                <w:rFonts w:ascii="Calibri" w:hAnsi="Calibri"/>
                <w:sz w:val="17"/>
              </w:rPr>
              <w:t>Deneysel kod ve çıktı arşivleme sarf giderleri</w:t>
            </w:r>
          </w:p>
        </w:tc>
        <w:tc>
          <w:tcPr>
            <w:tcW w:type="dxa" w:w="1728"/>
            <w:shd w:fill="FFFFFF"/>
            <w:tcMar>
              <w:top w:w="80" w:type="dxa"/>
              <w:bottom w:w="80" w:type="dxa"/>
              <w:left w:w="100" w:type="dxa"/>
              <w:right w:w="100" w:type="dxa"/>
            </w:tcMar>
          </w:tcPr>
          <w:p>
            <w:pPr>
              <w:jc w:val="center"/>
            </w:pPr>
            <w:r>
              <w:rPr>
                <w:rFonts w:ascii="Calibri" w:hAnsi="Calibri"/>
                <w:sz w:val="17"/>
              </w:rPr>
              <w:t>900,00 TL</w:t>
            </w:r>
          </w:p>
        </w:tc>
      </w:tr>
    </w:tbl>
    <w:p>
      <w:pPr>
        <w:spacing w:before="80"/>
        <w:jc w:val="right"/>
      </w:pPr>
      <w:r>
        <w:rPr>
          <w:rFonts w:ascii="Calibri" w:hAnsi="Calibri"/>
          <w:b/>
          <w:sz w:val="20"/>
        </w:rPr>
        <w:t xml:space="preserve">TOPLAM PROJE HARCAMASI: </w:t>
      </w:r>
      <w:r>
        <w:rPr>
          <w:rFonts w:ascii="Calibri" w:hAnsi="Calibri"/>
          <w:b/>
          <w:color w:val="006400"/>
          <w:sz w:val="21"/>
        </w:rPr>
        <w:t>9.000,00 TL</w:t>
      </w:r>
    </w:p>
    <w:p>
      <w:pPr>
        <w:spacing w:before="240" w:after="80"/>
      </w:pPr>
      <w:r>
        <w:rPr>
          <w:rFonts w:ascii="Calibri" w:hAnsi="Calibri"/>
          <w:b/>
        </w:rPr>
        <w:t>Tarih : 31.03.2027</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4824"/>
        <w:gridCol w:w="4824"/>
      </w:tblGrid>
      <w:tr>
        <w:tc>
          <w:tcPr>
            <w:tcW w:type="dxa" w:w="4752"/>
            <w:tcMar>
              <w:top w:w="100" w:type="dxa"/>
              <w:bottom w:w="100" w:type="dxa"/>
              <w:left w:w="120" w:type="dxa"/>
              <w:right w:w="120" w:type="dxa"/>
            </w:tcMar>
            <w:shd w:fill="F4F7FA"/>
          </w:tcPr>
          <w:p>
            <w:pPr>
              <w:jc w:val="center"/>
            </w:pPr>
            <w:r>
              <w:rPr>
                <w:rFonts w:ascii="Calibri" w:hAnsi="Calibri"/>
                <w:b/>
                <w:sz w:val="19"/>
              </w:rPr>
              <w:t>PROJE YÜRÜTÜCÜSÜNÜN</w:t>
              <w:br/>
              <w:t>ADI – SOYADI - İMZA</w:t>
            </w:r>
          </w:p>
        </w:tc>
        <w:tc>
          <w:tcPr>
            <w:tcW w:type="dxa" w:w="4752"/>
            <w:tcMar>
              <w:top w:w="100" w:type="dxa"/>
              <w:bottom w:w="100" w:type="dxa"/>
              <w:left w:w="120" w:type="dxa"/>
              <w:right w:w="120" w:type="dxa"/>
            </w:tcMar>
            <w:shd w:fill="F4F7FA"/>
          </w:tcPr>
          <w:p>
            <w:pPr>
              <w:jc w:val="center"/>
            </w:pPr>
            <w:r>
              <w:rPr>
                <w:rFonts w:ascii="Calibri" w:hAnsi="Calibri"/>
                <w:b/>
                <w:sz w:val="19"/>
              </w:rPr>
              <w:t>DANIŞMANIN</w:t>
              <w:br/>
              <w:t>ADI – SOYADI - İMZA</w:t>
            </w:r>
          </w:p>
        </w:tc>
      </w:tr>
      <w:tr>
        <w:tc>
          <w:tcPr>
            <w:tcW w:type="dxa" w:w="4752"/>
            <w:tcMar>
              <w:top w:w="100" w:type="dxa"/>
              <w:bottom w:w="100" w:type="dxa"/>
              <w:left w:w="120" w:type="dxa"/>
              <w:right w:w="120" w:type="dxa"/>
            </w:tcMar>
          </w:tcPr>
          <w:p>
            <w:pPr>
              <w:jc w:val="center"/>
            </w:pPr>
            <w:r>
              <w:rPr>
                <w:rFonts w:ascii="Calibri" w:hAnsi="Calibri"/>
                <w:sz w:val="19"/>
              </w:rPr>
              <w:t>Ahmet GÜN</w:t>
              <w:br/>
              <w:t>(İmza)</w:t>
            </w:r>
          </w:p>
        </w:tc>
        <w:tc>
          <w:tcPr>
            <w:tcW w:type="dxa" w:w="4752"/>
            <w:tcMar>
              <w:top w:w="100" w:type="dxa"/>
              <w:bottom w:w="100" w:type="dxa"/>
              <w:left w:w="120" w:type="dxa"/>
              <w:right w:w="120" w:type="dxa"/>
            </w:tcMar>
          </w:tcPr>
          <w:p>
            <w:pPr>
              <w:jc w:val="center"/>
            </w:pPr>
            <w:r>
              <w:rPr>
                <w:rFonts w:ascii="Calibri" w:hAnsi="Calibri"/>
                <w:sz w:val="19"/>
              </w:rPr>
              <w:t>Doç. Dr. Yeşim ÜLGEN SÖNMEZ</w:t>
              <w:br/>
              <w:t>(İmza)</w:t>
            </w:r>
          </w:p>
        </w:tc>
      </w:tr>
      <w:tr>
        <w:tc>
          <w:tcPr>
            <w:tcW w:type="dxa" w:w="4752"/>
            <w:tcMar>
              <w:top w:w="100" w:type="dxa"/>
              <w:bottom w:w="100" w:type="dxa"/>
              <w:left w:w="120" w:type="dxa"/>
              <w:right w:w="120" w:type="dxa"/>
            </w:tcMar>
          </w:tcPr>
          <w:p/>
        </w:tc>
        <w:tc>
          <w:tcPr>
            <w:tcW w:type="dxa" w:w="4752"/>
            <w:tcMar>
              <w:top w:w="100" w:type="dxa"/>
              <w:bottom w:w="100" w:type="dxa"/>
              <w:left w:w="120" w:type="dxa"/>
              <w:right w:w="120" w:type="dxa"/>
            </w:tcMar>
          </w:tcPr>
          <w:p/>
        </w:tc>
      </w:tr>
    </w:tbl>
    <w:p>
      <w:r>
        <w:br w:type="page"/>
      </w:r>
    </w:p>
    <w:p>
      <w:pPr>
        <w:keepNext/>
        <w:spacing w:before="280" w:after="80"/>
      </w:pPr>
      <w:r>
        <w:rPr>
          <w:rFonts w:ascii="Calibri" w:hAnsi="Calibri"/>
          <w:b/>
          <w:color w:val="003366"/>
          <w:sz w:val="26"/>
        </w:rPr>
        <w:t>EK-1: KAYNAKLAR</w:t>
      </w:r>
    </w:p>
    <w:p>
      <w:pPr>
        <w:spacing w:line="276" w:lineRule="auto" w:after="80"/>
        <w:ind w:left="504" w:hanging="504"/>
      </w:pPr>
      <w:r>
        <w:rPr>
          <w:rFonts w:ascii="Calibri" w:hAnsi="Calibri"/>
          <w:sz w:val="19"/>
        </w:rPr>
        <w:t>[1] Mohajon, J., &amp; Arif, A. S. M. (2023). Churn prediction with explainability for the customers of telecom industry. In Proceedings of the 2023 International Conference on Information and Communication Technology for Sustainable Development (ICICT4SD) (pp. 1–6).</w:t>
      </w:r>
    </w:p>
    <w:p>
      <w:pPr>
        <w:spacing w:line="276" w:lineRule="auto" w:after="80"/>
        <w:ind w:left="504" w:hanging="504"/>
      </w:pPr>
      <w:r>
        <w:rPr>
          <w:rFonts w:ascii="Calibri" w:hAnsi="Calibri"/>
          <w:sz w:val="19"/>
        </w:rPr>
        <w:t>[2] Abdel Aziz, N. M., Bekheet, M., Salah, A., El-Saber, N., &amp; AbdelMoneim, W. T. (2025). A comprehensive evaluation of machine learning and deep learning models for churn prediction. Information, 16(7), 537. https://doi.org/10.3390/info16070537</w:t>
      </w:r>
    </w:p>
    <w:p>
      <w:pPr>
        <w:spacing w:line="276" w:lineRule="auto" w:after="80"/>
        <w:ind w:left="504" w:hanging="504"/>
      </w:pPr>
      <w:r>
        <w:rPr>
          <w:rFonts w:ascii="Calibri" w:hAnsi="Calibri"/>
          <w:sz w:val="19"/>
        </w:rPr>
        <w:t>[3] Khalilbayli, F., &amp; Sertkaya, C. (2025). Enhancing customer churn prediction in the finance sector through explainable AI and machine learning. International Journal of Advanced Natural Sciences and Engineering Researches, 9(10), 1–8.</w:t>
      </w:r>
    </w:p>
    <w:p>
      <w:pPr>
        <w:spacing w:line="276" w:lineRule="auto" w:after="80"/>
        <w:ind w:left="504" w:hanging="504"/>
      </w:pPr>
      <w:r>
        <w:rPr>
          <w:rFonts w:ascii="Calibri" w:hAnsi="Calibri"/>
          <w:sz w:val="19"/>
        </w:rPr>
        <w:t>[4] Özkurt, C. (2025). Comparative analysis of XAI techniques on telecom churn prediction using SHAP and interpreted ML partial dependence. Türk Doğa ve Fen Dergisi, 14(2), 11–25.</w:t>
      </w:r>
    </w:p>
    <w:p>
      <w:pPr>
        <w:spacing w:line="276" w:lineRule="auto" w:after="80"/>
        <w:ind w:left="504" w:hanging="504"/>
      </w:pPr>
      <w:r>
        <w:rPr>
          <w:rFonts w:ascii="Calibri" w:hAnsi="Calibri"/>
          <w:sz w:val="19"/>
        </w:rPr>
        <w:t>[5] Yıldırım, O. F., &amp; Yıldırım, M. (2022). Yorumlanabilir makine öğrenmesi. In S. Sağıroğlu &amp; M. U. Demirezen (Eds.), Yorumlanabilir ve açıklanabilir yapay zekâ ve güncel konular (pp. 1–28). Ankara: Nobel Yayınları.</w:t>
      </w:r>
    </w:p>
    <w:p>
      <w:pPr>
        <w:spacing w:line="276" w:lineRule="auto" w:after="80"/>
        <w:ind w:left="504" w:hanging="504"/>
      </w:pPr>
      <w:r>
        <w:rPr>
          <w:rFonts w:ascii="Calibri" w:hAnsi="Calibri"/>
          <w:sz w:val="19"/>
        </w:rPr>
        <w:t>[6] Imani, M., Joudaki, M., Beikmohammadi, A., &amp; Arabnia, H. R. (2025). Customer churn prediction: A systematic review of recent advances, trends, and challenges in machine learning and deep learning. Machine Learning and Knowledge Extraction, 7(3), 105–129. https://doi.org/10.3390/make7030105</w:t>
      </w:r>
    </w:p>
    <w:p>
      <w:pPr>
        <w:spacing w:line="276" w:lineRule="auto" w:after="80"/>
        <w:ind w:left="504" w:hanging="504"/>
      </w:pPr>
      <w:r>
        <w:rPr>
          <w:rFonts w:ascii="Calibri" w:hAnsi="Calibri"/>
          <w:sz w:val="19"/>
        </w:rPr>
        <w:t>[7] Fayaz, S. A., &amp; Zaman, M. (2022). Is deep learning on tabular data enough? An assessment. International Journal of Advanced Computer Science and Applications, 13(4), 1–8.</w:t>
      </w:r>
    </w:p>
    <w:p>
      <w:pPr>
        <w:spacing w:line="276" w:lineRule="auto" w:after="80"/>
        <w:ind w:left="504" w:hanging="504"/>
      </w:pPr>
      <w:r>
        <w:rPr>
          <w:rFonts w:ascii="Calibri" w:hAnsi="Calibri"/>
          <w:sz w:val="19"/>
        </w:rPr>
        <w:t>[8] Sama, G., Asuquo, P., &amp; Stephen, B. (2024). Customer churn prediction using machine learning models. Journal of Engineering Research and Reports, 26(2), 181–193.</w:t>
      </w:r>
    </w:p>
    <w:p>
      <w:pPr>
        <w:spacing w:line="276" w:lineRule="auto" w:after="80"/>
        <w:ind w:left="504" w:hanging="504"/>
      </w:pPr>
      <w:r>
        <w:rPr>
          <w:rFonts w:ascii="Calibri" w:hAnsi="Calibri"/>
          <w:sz w:val="19"/>
        </w:rPr>
        <w:t>[9] Manzoor, A., Qureshi, M. A., Kidney, E., &amp; Longo, L. (2024). A review on machine learning methods for customer churn prediction and recommendations for business practitioners. IEEE Access, 12, 70443–70463. https://doi.org/10.1109/ACCESS.2024.xxxxx</w:t>
      </w:r>
    </w:p>
    <w:p>
      <w:pPr>
        <w:spacing w:line="276" w:lineRule="auto" w:after="80"/>
        <w:ind w:left="504" w:hanging="504"/>
      </w:pPr>
      <w:r>
        <w:rPr>
          <w:rFonts w:ascii="Calibri" w:hAnsi="Calibri"/>
          <w:sz w:val="19"/>
        </w:rPr>
        <w:t>[10] Aydın, M. A. (2025). Telekomünikasyon sektöründe müşteri kaybı tahmini için açıklanabilir makine öğrenmesi. EMO Bilimsel Dergi, 15(2), 71–79.</w:t>
      </w:r>
    </w:p>
    <w:p>
      <w:pPr>
        <w:spacing w:line="276" w:lineRule="auto" w:after="80"/>
        <w:ind w:left="504" w:hanging="504"/>
      </w:pPr>
      <w:r>
        <w:rPr>
          <w:rFonts w:ascii="Calibri" w:hAnsi="Calibri"/>
          <w:sz w:val="19"/>
        </w:rPr>
        <w:t>[11] Borisov, V., Leemann, T., Seßler, K., Haug, J., Pawelczyk, M., &amp; Kasneci, G. (2022). Deep neural networks and tabular data: A survey. arXiv preprint arXiv:2110.01889v1.</w:t>
      </w:r>
    </w:p>
    <w:p>
      <w:pPr>
        <w:spacing w:line="276" w:lineRule="auto" w:after="80"/>
        <w:ind w:left="504" w:hanging="504"/>
      </w:pPr>
      <w:r>
        <w:rPr>
          <w:rFonts w:ascii="Calibri" w:hAnsi="Calibri"/>
          <w:sz w:val="19"/>
        </w:rPr>
        <w:t>[12] Uyar Erdem, Z. (2021). A comparative study for customer churn analysis via machine learning algorithms [Yüksek lisans tezi, Marmara Üniversitesi Fen Bilimleri Enstitüsü]. İstanbul, Türkiye.</w:t>
      </w:r>
    </w:p>
    <w:p>
      <w:pPr>
        <w:spacing w:line="276" w:lineRule="auto" w:after="80"/>
        <w:ind w:left="504" w:hanging="504"/>
      </w:pPr>
      <w:r>
        <w:rPr>
          <w:rFonts w:ascii="Calibri" w:hAnsi="Calibri"/>
          <w:sz w:val="19"/>
        </w:rPr>
        <w:t>[13] Cao, N. (2021). Explainable artificial intelligence for customer churning prediction in banking. CEUR Workshop Proceedings, 3026, 1–8.</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Fırat Üniversitesi — Açıklanabilir Müşteri Kaybı Tahminleme ve Karar Destek Prototipi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TÜBİTAK 2209-A Üniversite Öğrencileri Araştırma Projeleri Destekleme Programı | Sonuç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